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577757">
      <w:pPr>
        <w:spacing w:before="240" w:line="800" w:lineRule="exact"/>
        <w:jc w:val="center"/>
        <w:rPr>
          <w:rFonts w:hint="eastAsia" w:ascii="宋体" w:hAnsi="宋体" w:cs="宋体"/>
          <w:b/>
          <w:color w:val="auto"/>
          <w:sz w:val="44"/>
          <w:szCs w:val="44"/>
          <w:highlight w:val="none"/>
        </w:rPr>
      </w:pPr>
    </w:p>
    <w:p w14:paraId="23E0E4DD">
      <w:pPr>
        <w:keepNext w:val="0"/>
        <w:keepLines w:val="0"/>
        <w:pageBreakBefore w:val="0"/>
        <w:widowControl w:val="0"/>
        <w:kinsoku/>
        <w:wordWrap/>
        <w:overflowPunct/>
        <w:topLinePunct w:val="0"/>
        <w:autoSpaceDE/>
        <w:autoSpaceDN/>
        <w:bidi w:val="0"/>
        <w:adjustRightInd/>
        <w:snapToGrid/>
        <w:spacing w:before="240" w:line="800" w:lineRule="exact"/>
        <w:ind w:left="0" w:leftChars="0" w:right="0" w:rightChars="0" w:firstLine="0" w:firstLineChars="0"/>
        <w:jc w:val="center"/>
        <w:textAlignment w:val="auto"/>
        <w:outlineLvl w:val="9"/>
        <w:rPr>
          <w:rFonts w:hint="eastAsia" w:ascii="宋体" w:hAnsi="宋体" w:eastAsia="宋体" w:cs="宋体"/>
          <w:b/>
          <w:color w:val="auto"/>
          <w:sz w:val="40"/>
          <w:szCs w:val="40"/>
          <w:highlight w:val="none"/>
          <w:lang w:val="en-US" w:eastAsia="zh-CN"/>
        </w:rPr>
      </w:pPr>
      <w:r>
        <w:rPr>
          <w:rFonts w:hint="eastAsia" w:ascii="宋体" w:hAnsi="宋体" w:cs="宋体"/>
          <w:b/>
          <w:color w:val="auto"/>
          <w:sz w:val="44"/>
          <w:szCs w:val="44"/>
          <w:highlight w:val="none"/>
          <w:lang w:eastAsia="zh-CN"/>
        </w:rPr>
        <w:t>安福寺镇生活垃圾转运、无害化处理服务采购项目</w:t>
      </w:r>
    </w:p>
    <w:p w14:paraId="61ECFB81">
      <w:pPr>
        <w:keepNext w:val="0"/>
        <w:keepLines w:val="0"/>
        <w:pageBreakBefore w:val="0"/>
        <w:widowControl w:val="0"/>
        <w:kinsoku/>
        <w:wordWrap/>
        <w:overflowPunct/>
        <w:topLinePunct w:val="0"/>
        <w:autoSpaceDE/>
        <w:autoSpaceDN/>
        <w:bidi w:val="0"/>
        <w:adjustRightInd/>
        <w:snapToGrid/>
        <w:spacing w:before="240" w:line="800" w:lineRule="exact"/>
        <w:jc w:val="center"/>
        <w:textAlignment w:val="auto"/>
        <w:rPr>
          <w:rFonts w:hint="eastAsia" w:ascii="宋体" w:hAnsi="宋体" w:cs="宋体"/>
          <w:b/>
          <w:color w:val="auto"/>
          <w:sz w:val="44"/>
          <w:szCs w:val="44"/>
          <w:highlight w:val="none"/>
          <w:lang w:val="en-US" w:eastAsia="zh-CN"/>
        </w:rPr>
      </w:pPr>
    </w:p>
    <w:p w14:paraId="6C391770">
      <w:pPr>
        <w:keepNext w:val="0"/>
        <w:keepLines w:val="0"/>
        <w:pageBreakBefore w:val="0"/>
        <w:widowControl w:val="0"/>
        <w:kinsoku/>
        <w:wordWrap/>
        <w:overflowPunct/>
        <w:topLinePunct w:val="0"/>
        <w:autoSpaceDE/>
        <w:autoSpaceDN/>
        <w:bidi w:val="0"/>
        <w:adjustRightInd/>
        <w:snapToGrid/>
        <w:spacing w:before="240" w:line="800" w:lineRule="exact"/>
        <w:jc w:val="center"/>
        <w:textAlignment w:val="auto"/>
        <w:rPr>
          <w:rFonts w:hint="eastAsia" w:ascii="宋体" w:hAnsi="宋体" w:cs="宋体"/>
          <w:b/>
          <w:color w:val="auto"/>
          <w:sz w:val="44"/>
          <w:szCs w:val="44"/>
          <w:highlight w:val="none"/>
          <w:lang w:val="en-US" w:eastAsia="zh-CN"/>
        </w:rPr>
      </w:pPr>
    </w:p>
    <w:p w14:paraId="17FBC5DE">
      <w:pPr>
        <w:keepNext w:val="0"/>
        <w:keepLines w:val="0"/>
        <w:pageBreakBefore w:val="0"/>
        <w:widowControl w:val="0"/>
        <w:kinsoku/>
        <w:wordWrap/>
        <w:overflowPunct/>
        <w:topLinePunct w:val="0"/>
        <w:autoSpaceDE/>
        <w:autoSpaceDN/>
        <w:bidi w:val="0"/>
        <w:adjustRightInd/>
        <w:snapToGrid/>
        <w:spacing w:before="240" w:line="800" w:lineRule="exact"/>
        <w:jc w:val="center"/>
        <w:textAlignment w:val="auto"/>
        <w:rPr>
          <w:rFonts w:hint="eastAsia" w:ascii="宋体" w:hAnsi="宋体" w:cs="宋体"/>
          <w:b/>
          <w:color w:val="auto"/>
          <w:sz w:val="44"/>
          <w:szCs w:val="44"/>
          <w:highlight w:val="none"/>
          <w:lang w:val="en-US" w:eastAsia="zh-CN"/>
        </w:rPr>
      </w:pPr>
    </w:p>
    <w:p w14:paraId="2A5326C4">
      <w:pPr>
        <w:keepNext w:val="0"/>
        <w:keepLines w:val="0"/>
        <w:pageBreakBefore w:val="0"/>
        <w:widowControl w:val="0"/>
        <w:kinsoku/>
        <w:wordWrap/>
        <w:overflowPunct/>
        <w:topLinePunct w:val="0"/>
        <w:autoSpaceDE/>
        <w:autoSpaceDN/>
        <w:bidi w:val="0"/>
        <w:adjustRightInd/>
        <w:snapToGrid/>
        <w:spacing w:before="240" w:line="800" w:lineRule="exact"/>
        <w:jc w:val="both"/>
        <w:textAlignment w:val="auto"/>
        <w:rPr>
          <w:rFonts w:hint="eastAsia" w:ascii="宋体" w:hAnsi="宋体" w:cs="宋体"/>
          <w:b/>
          <w:color w:val="auto"/>
          <w:sz w:val="44"/>
          <w:szCs w:val="44"/>
          <w:highlight w:val="none"/>
          <w:lang w:val="en-US" w:eastAsia="zh-CN"/>
        </w:rPr>
      </w:pPr>
    </w:p>
    <w:p w14:paraId="19A2F043">
      <w:pPr>
        <w:keepNext w:val="0"/>
        <w:keepLines w:val="0"/>
        <w:pageBreakBefore w:val="0"/>
        <w:widowControl w:val="0"/>
        <w:kinsoku/>
        <w:wordWrap/>
        <w:overflowPunct/>
        <w:topLinePunct w:val="0"/>
        <w:autoSpaceDE/>
        <w:autoSpaceDN/>
        <w:bidi w:val="0"/>
        <w:adjustRightInd/>
        <w:snapToGrid/>
        <w:spacing w:before="240" w:line="800" w:lineRule="exact"/>
        <w:jc w:val="center"/>
        <w:textAlignment w:val="auto"/>
        <w:rPr>
          <w:rFonts w:hint="eastAsia" w:ascii="宋体" w:hAnsi="宋体" w:cs="宋体"/>
          <w:b/>
          <w:color w:val="auto"/>
          <w:sz w:val="96"/>
          <w:szCs w:val="96"/>
          <w:highlight w:val="none"/>
        </w:rPr>
      </w:pPr>
      <w:r>
        <w:rPr>
          <w:rFonts w:hint="eastAsia" w:ascii="宋体" w:hAnsi="宋体" w:cs="宋体"/>
          <w:b/>
          <w:color w:val="auto"/>
          <w:sz w:val="96"/>
          <w:szCs w:val="96"/>
          <w:highlight w:val="none"/>
        </w:rPr>
        <w:t>竞争性磋商文件</w:t>
      </w:r>
    </w:p>
    <w:p w14:paraId="34FEC060">
      <w:pPr>
        <w:jc w:val="center"/>
        <w:rPr>
          <w:rFonts w:hint="eastAsia" w:ascii="宋体" w:hAnsi="宋体" w:cs="宋体"/>
          <w:color w:val="auto"/>
          <w:sz w:val="44"/>
          <w:szCs w:val="44"/>
          <w:highlight w:val="none"/>
        </w:rPr>
      </w:pPr>
    </w:p>
    <w:p w14:paraId="5A426555">
      <w:pPr>
        <w:jc w:val="center"/>
        <w:rPr>
          <w:rFonts w:hint="eastAsia" w:ascii="宋体" w:hAnsi="宋体" w:cs="宋体"/>
          <w:color w:val="auto"/>
          <w:sz w:val="44"/>
          <w:szCs w:val="44"/>
          <w:highlight w:val="none"/>
        </w:rPr>
      </w:pPr>
      <w:r>
        <w:rPr>
          <w:rFonts w:hint="eastAsia" w:ascii="宋体" w:hAnsi="宋体" w:cs="宋体"/>
          <w:color w:val="auto"/>
          <w:sz w:val="44"/>
          <w:szCs w:val="44"/>
          <w:highlight w:val="none"/>
        </w:rPr>
        <w:t xml:space="preserve"> </w:t>
      </w:r>
    </w:p>
    <w:p w14:paraId="369B8C1B">
      <w:pPr>
        <w:widowControl/>
        <w:wordWrap w:val="0"/>
        <w:ind w:firstLine="1440" w:firstLineChars="800"/>
        <w:rPr>
          <w:rFonts w:hint="eastAsia" w:ascii="宋体" w:hAnsi="宋体" w:cs="宋体"/>
          <w:color w:val="auto"/>
          <w:sz w:val="18"/>
          <w:szCs w:val="18"/>
          <w:highlight w:val="none"/>
        </w:rPr>
      </w:pPr>
    </w:p>
    <w:p w14:paraId="51758881">
      <w:pPr>
        <w:jc w:val="center"/>
        <w:rPr>
          <w:rFonts w:hint="eastAsia" w:ascii="宋体" w:hAnsi="宋体" w:cs="宋体"/>
          <w:color w:val="auto"/>
          <w:sz w:val="44"/>
          <w:szCs w:val="44"/>
          <w:highlight w:val="none"/>
        </w:rPr>
      </w:pPr>
    </w:p>
    <w:p w14:paraId="67DBB645">
      <w:pPr>
        <w:tabs>
          <w:tab w:val="left" w:pos="2781"/>
        </w:tabs>
        <w:jc w:val="center"/>
        <w:rPr>
          <w:rFonts w:hint="eastAsia" w:ascii="宋体" w:hAnsi="宋体" w:cs="宋体"/>
          <w:color w:val="auto"/>
          <w:sz w:val="44"/>
          <w:szCs w:val="44"/>
          <w:highlight w:val="none"/>
        </w:rPr>
      </w:pPr>
    </w:p>
    <w:p w14:paraId="64267AA0">
      <w:pPr>
        <w:tabs>
          <w:tab w:val="left" w:pos="2781"/>
        </w:tabs>
        <w:jc w:val="center"/>
        <w:rPr>
          <w:rFonts w:hint="eastAsia" w:ascii="宋体" w:hAnsi="宋体" w:cs="宋体"/>
          <w:color w:val="auto"/>
          <w:sz w:val="44"/>
          <w:szCs w:val="44"/>
          <w:highlight w:val="none"/>
        </w:rPr>
      </w:pPr>
    </w:p>
    <w:p w14:paraId="70680D81">
      <w:pPr>
        <w:tabs>
          <w:tab w:val="left" w:pos="2781"/>
        </w:tabs>
        <w:jc w:val="center"/>
        <w:rPr>
          <w:rFonts w:hint="eastAsia" w:ascii="宋体" w:hAnsi="宋体" w:cs="宋体"/>
          <w:color w:val="auto"/>
          <w:sz w:val="44"/>
          <w:szCs w:val="44"/>
          <w:highlight w:val="none"/>
        </w:rPr>
      </w:pPr>
    </w:p>
    <w:p w14:paraId="1ADF23B7">
      <w:pPr>
        <w:tabs>
          <w:tab w:val="left" w:pos="2781"/>
        </w:tabs>
        <w:jc w:val="center"/>
        <w:rPr>
          <w:rFonts w:hint="eastAsia" w:ascii="宋体" w:hAnsi="宋体" w:cs="宋体"/>
          <w:color w:val="auto"/>
          <w:sz w:val="44"/>
          <w:szCs w:val="44"/>
          <w:highlight w:val="none"/>
        </w:rPr>
      </w:pPr>
    </w:p>
    <w:p w14:paraId="3E15FED0">
      <w:pPr>
        <w:tabs>
          <w:tab w:val="left" w:pos="2781"/>
        </w:tabs>
        <w:jc w:val="center"/>
        <w:rPr>
          <w:rFonts w:hint="eastAsia" w:ascii="宋体" w:hAnsi="宋体" w:cs="宋体"/>
          <w:color w:val="auto"/>
          <w:sz w:val="44"/>
          <w:szCs w:val="44"/>
          <w:highlight w:val="none"/>
        </w:rPr>
      </w:pPr>
    </w:p>
    <w:p w14:paraId="38470B79">
      <w:pPr>
        <w:keepNext w:val="0"/>
        <w:keepLines w:val="0"/>
        <w:pageBreakBefore w:val="0"/>
        <w:widowControl w:val="0"/>
        <w:kinsoku/>
        <w:wordWrap/>
        <w:overflowPunct/>
        <w:topLinePunct w:val="0"/>
        <w:autoSpaceDE/>
        <w:autoSpaceDN/>
        <w:bidi w:val="0"/>
        <w:adjustRightInd/>
        <w:snapToGrid/>
        <w:spacing w:line="560" w:lineRule="exact"/>
        <w:ind w:firstLine="1280" w:firstLineChars="400"/>
        <w:textAlignment w:val="auto"/>
        <w:rPr>
          <w:rFonts w:hint="eastAsia" w:ascii="宋体" w:hAnsi="宋体" w:eastAsia="宋体" w:cs="宋体"/>
          <w:color w:val="auto"/>
          <w:kern w:val="0"/>
          <w:sz w:val="32"/>
          <w:szCs w:val="32"/>
          <w:highlight w:val="none"/>
          <w:lang w:val="en-US" w:eastAsia="zh-CN"/>
        </w:rPr>
      </w:pPr>
      <w:r>
        <w:rPr>
          <w:rFonts w:hint="eastAsia" w:ascii="宋体" w:hAnsi="宋体" w:cs="宋体"/>
          <w:color w:val="auto"/>
          <w:kern w:val="0"/>
          <w:sz w:val="32"/>
          <w:szCs w:val="32"/>
          <w:highlight w:val="none"/>
        </w:rPr>
        <w:t xml:space="preserve">采 </w:t>
      </w:r>
      <w:r>
        <w:rPr>
          <w:rFonts w:hint="eastAsia" w:ascii="宋体" w:hAnsi="宋体" w:cs="宋体"/>
          <w:color w:val="auto"/>
          <w:kern w:val="0"/>
          <w:sz w:val="32"/>
          <w:szCs w:val="32"/>
          <w:highlight w:val="none"/>
          <w:lang w:val="en-US" w:eastAsia="zh-CN"/>
        </w:rPr>
        <w:t xml:space="preserve"> </w:t>
      </w:r>
      <w:r>
        <w:rPr>
          <w:rFonts w:hint="eastAsia" w:ascii="宋体" w:hAnsi="宋体" w:cs="宋体"/>
          <w:color w:val="auto"/>
          <w:kern w:val="0"/>
          <w:sz w:val="32"/>
          <w:szCs w:val="32"/>
          <w:highlight w:val="none"/>
        </w:rPr>
        <w:t xml:space="preserve"> 购</w:t>
      </w:r>
      <w:r>
        <w:rPr>
          <w:rFonts w:hint="eastAsia" w:ascii="宋体" w:hAnsi="宋体" w:cs="宋体"/>
          <w:color w:val="auto"/>
          <w:kern w:val="0"/>
          <w:sz w:val="32"/>
          <w:szCs w:val="32"/>
          <w:highlight w:val="none"/>
          <w:lang w:val="en-US" w:eastAsia="zh-CN"/>
        </w:rPr>
        <w:t xml:space="preserve"> </w:t>
      </w:r>
      <w:r>
        <w:rPr>
          <w:rFonts w:hint="eastAsia" w:ascii="宋体" w:hAnsi="宋体" w:cs="宋体"/>
          <w:color w:val="auto"/>
          <w:kern w:val="0"/>
          <w:sz w:val="32"/>
          <w:szCs w:val="32"/>
          <w:highlight w:val="none"/>
        </w:rPr>
        <w:t xml:space="preserve">  人：</w:t>
      </w:r>
      <w:r>
        <w:rPr>
          <w:rFonts w:hint="eastAsia" w:ascii="宋体" w:hAnsi="宋体" w:cs="宋体"/>
          <w:color w:val="auto"/>
          <w:kern w:val="0"/>
          <w:sz w:val="32"/>
          <w:szCs w:val="32"/>
          <w:highlight w:val="none"/>
          <w:lang w:eastAsia="zh-CN"/>
        </w:rPr>
        <w:t>枝江市安福寺镇·工业园综合执法中心</w:t>
      </w:r>
    </w:p>
    <w:p w14:paraId="7F65D2E8">
      <w:pPr>
        <w:keepNext w:val="0"/>
        <w:keepLines w:val="0"/>
        <w:pageBreakBefore w:val="0"/>
        <w:widowControl w:val="0"/>
        <w:kinsoku/>
        <w:wordWrap/>
        <w:overflowPunct/>
        <w:topLinePunct w:val="0"/>
        <w:autoSpaceDE/>
        <w:autoSpaceDN/>
        <w:bidi w:val="0"/>
        <w:adjustRightInd/>
        <w:snapToGrid/>
        <w:spacing w:line="560" w:lineRule="exact"/>
        <w:ind w:firstLine="1280" w:firstLineChars="400"/>
        <w:textAlignment w:val="auto"/>
        <w:rPr>
          <w:rFonts w:hint="eastAsia" w:ascii="宋体" w:hAnsi="宋体" w:eastAsia="宋体" w:cs="宋体"/>
          <w:color w:val="auto"/>
          <w:kern w:val="0"/>
          <w:sz w:val="32"/>
          <w:szCs w:val="32"/>
          <w:highlight w:val="none"/>
          <w:lang w:eastAsia="zh-CN"/>
        </w:rPr>
      </w:pPr>
      <w:r>
        <w:rPr>
          <w:rFonts w:hint="eastAsia" w:ascii="宋体" w:hAnsi="宋体" w:cs="宋体"/>
          <w:color w:val="auto"/>
          <w:kern w:val="0"/>
          <w:sz w:val="32"/>
          <w:szCs w:val="32"/>
          <w:highlight w:val="none"/>
        </w:rPr>
        <w:t>采购代理机构：</w:t>
      </w:r>
      <w:r>
        <w:rPr>
          <w:rFonts w:hint="eastAsia" w:ascii="宋体" w:hAnsi="宋体" w:cs="宋体"/>
          <w:color w:val="auto"/>
          <w:kern w:val="0"/>
          <w:sz w:val="32"/>
          <w:szCs w:val="32"/>
          <w:highlight w:val="none"/>
          <w:lang w:eastAsia="zh-CN"/>
        </w:rPr>
        <w:t>湖北谨天工程咨询有限公司</w:t>
      </w:r>
    </w:p>
    <w:p w14:paraId="394B5F68">
      <w:pPr>
        <w:pStyle w:val="3"/>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eastAsia" w:hAnsi="宋体" w:cs="宋体"/>
          <w:color w:val="auto"/>
          <w:sz w:val="32"/>
          <w:szCs w:val="36"/>
          <w:highlight w:val="none"/>
        </w:rPr>
      </w:pPr>
    </w:p>
    <w:p w14:paraId="15C911B6">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val="0"/>
          <w:bCs/>
          <w:color w:val="auto"/>
          <w:spacing w:val="-10"/>
          <w:sz w:val="32"/>
          <w:szCs w:val="32"/>
          <w:highlight w:val="none"/>
        </w:rPr>
      </w:pPr>
      <w:r>
        <w:rPr>
          <w:rFonts w:hint="eastAsia" w:ascii="宋体" w:hAnsi="宋体" w:eastAsia="宋体" w:cs="宋体"/>
          <w:color w:val="auto"/>
          <w:sz w:val="32"/>
          <w:szCs w:val="32"/>
          <w:highlight w:val="none"/>
          <w:lang w:val="en-US" w:eastAsia="zh-CN"/>
        </w:rPr>
        <w:t>二〇</w:t>
      </w:r>
      <w:r>
        <w:rPr>
          <w:rFonts w:hint="eastAsia" w:ascii="宋体" w:hAnsi="宋体" w:eastAsia="宋体" w:cs="宋体"/>
          <w:b/>
          <w:color w:val="auto"/>
          <w:spacing w:val="-10"/>
          <w:sz w:val="32"/>
          <w:szCs w:val="32"/>
          <w:highlight w:val="none"/>
        </w:rPr>
        <w:t>二</w:t>
      </w:r>
      <w:r>
        <w:rPr>
          <w:rFonts w:hint="eastAsia" w:ascii="宋体" w:hAnsi="宋体" w:cs="宋体"/>
          <w:b w:val="0"/>
          <w:bCs/>
          <w:color w:val="auto"/>
          <w:spacing w:val="-10"/>
          <w:sz w:val="32"/>
          <w:szCs w:val="32"/>
          <w:highlight w:val="none"/>
          <w:lang w:eastAsia="zh-CN"/>
        </w:rPr>
        <w:t>六</w:t>
      </w:r>
      <w:r>
        <w:rPr>
          <w:rFonts w:hint="eastAsia" w:ascii="宋体" w:hAnsi="宋体" w:eastAsia="宋体" w:cs="宋体"/>
          <w:b w:val="0"/>
          <w:bCs/>
          <w:color w:val="auto"/>
          <w:spacing w:val="-10"/>
          <w:sz w:val="32"/>
          <w:szCs w:val="32"/>
          <w:highlight w:val="none"/>
        </w:rPr>
        <w:t>年</w:t>
      </w:r>
      <w:r>
        <w:rPr>
          <w:rFonts w:hint="eastAsia" w:ascii="宋体" w:hAnsi="宋体" w:cs="宋体"/>
          <w:b w:val="0"/>
          <w:bCs/>
          <w:color w:val="auto"/>
          <w:spacing w:val="-10"/>
          <w:sz w:val="32"/>
          <w:szCs w:val="32"/>
          <w:highlight w:val="none"/>
          <w:lang w:eastAsia="zh-CN"/>
        </w:rPr>
        <w:t>五</w:t>
      </w:r>
      <w:r>
        <w:rPr>
          <w:rFonts w:hint="eastAsia" w:ascii="宋体" w:hAnsi="宋体" w:eastAsia="宋体" w:cs="宋体"/>
          <w:b w:val="0"/>
          <w:bCs/>
          <w:color w:val="auto"/>
          <w:spacing w:val="-10"/>
          <w:sz w:val="32"/>
          <w:szCs w:val="32"/>
          <w:highlight w:val="none"/>
        </w:rPr>
        <w:t>月</w:t>
      </w:r>
      <w:bookmarkStart w:id="0" w:name="_Toc32343"/>
      <w:bookmarkStart w:id="1" w:name="_Toc19230"/>
      <w:bookmarkStart w:id="2" w:name="_Toc31770"/>
    </w:p>
    <w:p w14:paraId="0E738B9C">
      <w:pPr>
        <w:spacing w:line="700" w:lineRule="exact"/>
        <w:ind w:firstLine="1179" w:firstLineChars="393"/>
        <w:jc w:val="center"/>
        <w:rPr>
          <w:rFonts w:hint="eastAsia" w:ascii="宋体" w:hAnsi="宋体" w:eastAsia="宋体" w:cs="宋体"/>
          <w:b w:val="0"/>
          <w:bCs/>
          <w:color w:val="auto"/>
          <w:spacing w:val="-10"/>
          <w:sz w:val="32"/>
          <w:szCs w:val="32"/>
          <w:highlight w:val="none"/>
        </w:rPr>
      </w:pPr>
    </w:p>
    <w:p w14:paraId="3DD67130">
      <w:pPr>
        <w:spacing w:line="700" w:lineRule="exact"/>
        <w:jc w:val="center"/>
        <w:outlineLvl w:val="0"/>
        <w:rPr>
          <w:rFonts w:hint="eastAsia" w:ascii="宋体" w:hAnsi="宋体" w:eastAsia="宋体" w:cs="宋体"/>
          <w:color w:val="auto"/>
          <w:sz w:val="36"/>
          <w:szCs w:val="48"/>
          <w:highlight w:val="none"/>
        </w:rPr>
      </w:pPr>
      <w:bookmarkStart w:id="3" w:name="_Toc25854"/>
      <w:r>
        <w:rPr>
          <w:rFonts w:hint="eastAsia" w:ascii="宋体" w:hAnsi="宋体" w:eastAsia="宋体" w:cs="宋体"/>
          <w:b/>
          <w:bCs/>
          <w:color w:val="auto"/>
          <w:sz w:val="36"/>
          <w:szCs w:val="48"/>
          <w:highlight w:val="none"/>
        </w:rPr>
        <w:t>目 录</w:t>
      </w:r>
      <w:bookmarkEnd w:id="0"/>
      <w:bookmarkEnd w:id="1"/>
      <w:bookmarkEnd w:id="2"/>
      <w:bookmarkEnd w:id="3"/>
    </w:p>
    <w:p w14:paraId="4D44CF81">
      <w:pPr>
        <w:pStyle w:val="14"/>
        <w:tabs>
          <w:tab w:val="right" w:leader="dot" w:pos="9643"/>
        </w:tabs>
      </w:pP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TOC \o "1-3" \h \u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Cs w:val="28"/>
          <w:highlight w:val="none"/>
        </w:rPr>
        <w:fldChar w:fldCharType="begin"/>
      </w:r>
      <w:r>
        <w:rPr>
          <w:rFonts w:hint="eastAsia" w:ascii="宋体" w:hAnsi="宋体" w:eastAsia="宋体" w:cs="宋体"/>
          <w:szCs w:val="28"/>
          <w:highlight w:val="none"/>
        </w:rPr>
        <w:instrText xml:space="preserve"> HYPERLINK \l _Toc25854 </w:instrText>
      </w:r>
      <w:r>
        <w:rPr>
          <w:rFonts w:hint="eastAsia" w:ascii="宋体" w:hAnsi="宋体" w:eastAsia="宋体" w:cs="宋体"/>
          <w:szCs w:val="28"/>
          <w:highlight w:val="none"/>
        </w:rPr>
        <w:fldChar w:fldCharType="separate"/>
      </w:r>
      <w:r>
        <w:rPr>
          <w:rFonts w:hint="eastAsia" w:ascii="宋体" w:hAnsi="宋体" w:eastAsia="宋体" w:cs="宋体"/>
          <w:bCs/>
          <w:szCs w:val="48"/>
          <w:highlight w:val="none"/>
        </w:rPr>
        <w:t>目 录</w:t>
      </w:r>
      <w:r>
        <w:tab/>
      </w:r>
      <w:r>
        <w:fldChar w:fldCharType="begin"/>
      </w:r>
      <w:r>
        <w:instrText xml:space="preserve"> PAGEREF _Toc25854 \h </w:instrText>
      </w:r>
      <w:r>
        <w:fldChar w:fldCharType="separate"/>
      </w:r>
      <w:r>
        <w:t>2</w:t>
      </w:r>
      <w:r>
        <w:fldChar w:fldCharType="end"/>
      </w:r>
      <w:r>
        <w:rPr>
          <w:rFonts w:hint="eastAsia" w:ascii="宋体" w:hAnsi="宋体" w:eastAsia="宋体" w:cs="宋体"/>
          <w:color w:val="auto"/>
          <w:szCs w:val="28"/>
          <w:highlight w:val="none"/>
        </w:rPr>
        <w:fldChar w:fldCharType="end"/>
      </w:r>
    </w:p>
    <w:p w14:paraId="6E35C573">
      <w:pPr>
        <w:pStyle w:val="14"/>
        <w:tabs>
          <w:tab w:val="right" w:leader="dot" w:pos="9643"/>
        </w:tabs>
      </w:pPr>
      <w:r>
        <w:rPr>
          <w:rFonts w:hint="eastAsia" w:ascii="宋体" w:hAnsi="宋体" w:eastAsia="宋体" w:cs="宋体"/>
          <w:color w:val="auto"/>
          <w:szCs w:val="28"/>
          <w:highlight w:val="none"/>
        </w:rPr>
        <w:fldChar w:fldCharType="begin"/>
      </w:r>
      <w:r>
        <w:rPr>
          <w:rFonts w:hint="eastAsia" w:ascii="宋体" w:hAnsi="宋体" w:eastAsia="宋体" w:cs="宋体"/>
          <w:szCs w:val="28"/>
          <w:highlight w:val="none"/>
        </w:rPr>
        <w:instrText xml:space="preserve"> HYPERLINK \l _Toc7416 </w:instrText>
      </w:r>
      <w:r>
        <w:rPr>
          <w:rFonts w:hint="eastAsia" w:ascii="宋体" w:hAnsi="宋体" w:eastAsia="宋体" w:cs="宋体"/>
          <w:szCs w:val="28"/>
          <w:highlight w:val="none"/>
        </w:rPr>
        <w:fldChar w:fldCharType="separate"/>
      </w:r>
      <w:r>
        <w:rPr>
          <w:rFonts w:hint="eastAsia" w:ascii="宋体" w:hAnsi="宋体" w:eastAsia="宋体" w:cs="宋体"/>
          <w:highlight w:val="none"/>
        </w:rPr>
        <w:t>前 附 表</w:t>
      </w:r>
      <w:r>
        <w:tab/>
      </w:r>
      <w:r>
        <w:fldChar w:fldCharType="begin"/>
      </w:r>
      <w:r>
        <w:instrText xml:space="preserve"> PAGEREF _Toc7416 \h </w:instrText>
      </w:r>
      <w:r>
        <w:fldChar w:fldCharType="separate"/>
      </w:r>
      <w:r>
        <w:t>3</w:t>
      </w:r>
      <w:r>
        <w:fldChar w:fldCharType="end"/>
      </w:r>
      <w:r>
        <w:rPr>
          <w:rFonts w:hint="eastAsia" w:ascii="宋体" w:hAnsi="宋体" w:eastAsia="宋体" w:cs="宋体"/>
          <w:color w:val="auto"/>
          <w:szCs w:val="28"/>
          <w:highlight w:val="none"/>
        </w:rPr>
        <w:fldChar w:fldCharType="end"/>
      </w:r>
    </w:p>
    <w:p w14:paraId="6F2E0961">
      <w:pPr>
        <w:pStyle w:val="14"/>
        <w:tabs>
          <w:tab w:val="right" w:leader="dot" w:pos="9643"/>
        </w:tabs>
      </w:pPr>
      <w:r>
        <w:rPr>
          <w:rFonts w:hint="eastAsia" w:ascii="宋体" w:hAnsi="宋体" w:eastAsia="宋体" w:cs="宋体"/>
          <w:color w:val="auto"/>
          <w:szCs w:val="28"/>
          <w:highlight w:val="none"/>
        </w:rPr>
        <w:fldChar w:fldCharType="begin"/>
      </w:r>
      <w:r>
        <w:rPr>
          <w:rFonts w:hint="eastAsia" w:ascii="宋体" w:hAnsi="宋体" w:eastAsia="宋体" w:cs="宋体"/>
          <w:szCs w:val="28"/>
          <w:highlight w:val="none"/>
        </w:rPr>
        <w:instrText xml:space="preserve"> HYPERLINK \l _Toc20628 </w:instrText>
      </w:r>
      <w:r>
        <w:rPr>
          <w:rFonts w:hint="eastAsia" w:ascii="宋体" w:hAnsi="宋体" w:eastAsia="宋体" w:cs="宋体"/>
          <w:szCs w:val="28"/>
          <w:highlight w:val="none"/>
        </w:rPr>
        <w:fldChar w:fldCharType="separate"/>
      </w:r>
      <w:r>
        <w:rPr>
          <w:rFonts w:hint="eastAsia" w:ascii="宋体" w:hAnsi="宋体" w:eastAsia="宋体" w:cs="宋体"/>
          <w:szCs w:val="36"/>
          <w:highlight w:val="none"/>
          <w:lang w:eastAsia="zh-CN"/>
        </w:rPr>
        <w:t>第一章</w:t>
      </w:r>
      <w:r>
        <w:rPr>
          <w:rFonts w:hint="eastAsia" w:ascii="宋体" w:hAnsi="宋体" w:eastAsia="宋体" w:cs="宋体"/>
          <w:szCs w:val="36"/>
          <w:highlight w:val="none"/>
          <w:lang w:val="en-US" w:eastAsia="zh-CN"/>
        </w:rPr>
        <w:t xml:space="preserve"> </w:t>
      </w:r>
      <w:r>
        <w:rPr>
          <w:rFonts w:hint="eastAsia" w:ascii="宋体" w:hAnsi="宋体" w:eastAsia="宋体" w:cs="宋体"/>
          <w:szCs w:val="36"/>
          <w:highlight w:val="none"/>
        </w:rPr>
        <w:t>竞争性磋商公告</w:t>
      </w:r>
      <w:r>
        <w:tab/>
      </w:r>
      <w:r>
        <w:fldChar w:fldCharType="begin"/>
      </w:r>
      <w:r>
        <w:instrText xml:space="preserve"> PAGEREF _Toc20628 \h </w:instrText>
      </w:r>
      <w:r>
        <w:fldChar w:fldCharType="separate"/>
      </w:r>
      <w:r>
        <w:t>4</w:t>
      </w:r>
      <w:r>
        <w:fldChar w:fldCharType="end"/>
      </w:r>
      <w:r>
        <w:rPr>
          <w:rFonts w:hint="eastAsia" w:ascii="宋体" w:hAnsi="宋体" w:eastAsia="宋体" w:cs="宋体"/>
          <w:color w:val="auto"/>
          <w:szCs w:val="28"/>
          <w:highlight w:val="none"/>
        </w:rPr>
        <w:fldChar w:fldCharType="end"/>
      </w:r>
    </w:p>
    <w:p w14:paraId="747858E7">
      <w:pPr>
        <w:pStyle w:val="14"/>
        <w:tabs>
          <w:tab w:val="right" w:leader="dot" w:pos="9643"/>
        </w:tabs>
      </w:pPr>
      <w:r>
        <w:rPr>
          <w:rFonts w:hint="eastAsia" w:ascii="宋体" w:hAnsi="宋体" w:eastAsia="宋体" w:cs="宋体"/>
          <w:color w:val="auto"/>
          <w:szCs w:val="28"/>
          <w:highlight w:val="none"/>
        </w:rPr>
        <w:fldChar w:fldCharType="begin"/>
      </w:r>
      <w:r>
        <w:rPr>
          <w:rFonts w:hint="eastAsia" w:ascii="宋体" w:hAnsi="宋体" w:eastAsia="宋体" w:cs="宋体"/>
          <w:szCs w:val="28"/>
          <w:highlight w:val="none"/>
        </w:rPr>
        <w:instrText xml:space="preserve"> HYPERLINK \l _Toc7189 </w:instrText>
      </w:r>
      <w:r>
        <w:rPr>
          <w:rFonts w:hint="eastAsia" w:ascii="宋体" w:hAnsi="宋体" w:eastAsia="宋体" w:cs="宋体"/>
          <w:szCs w:val="28"/>
          <w:highlight w:val="none"/>
        </w:rPr>
        <w:fldChar w:fldCharType="separate"/>
      </w:r>
      <w:r>
        <w:rPr>
          <w:rFonts w:hint="eastAsia" w:ascii="宋体" w:hAnsi="宋体" w:eastAsia="宋体" w:cs="宋体"/>
          <w:szCs w:val="32"/>
          <w:highlight w:val="none"/>
        </w:rPr>
        <w:t>第二章  磋商须知</w:t>
      </w:r>
      <w:r>
        <w:tab/>
      </w:r>
      <w:r>
        <w:fldChar w:fldCharType="begin"/>
      </w:r>
      <w:r>
        <w:instrText xml:space="preserve"> PAGEREF _Toc7189 \h </w:instrText>
      </w:r>
      <w:r>
        <w:fldChar w:fldCharType="separate"/>
      </w:r>
      <w:r>
        <w:t>7</w:t>
      </w:r>
      <w:r>
        <w:fldChar w:fldCharType="end"/>
      </w:r>
      <w:r>
        <w:rPr>
          <w:rFonts w:hint="eastAsia" w:ascii="宋体" w:hAnsi="宋体" w:eastAsia="宋体" w:cs="宋体"/>
          <w:color w:val="auto"/>
          <w:szCs w:val="28"/>
          <w:highlight w:val="none"/>
        </w:rPr>
        <w:fldChar w:fldCharType="end"/>
      </w:r>
    </w:p>
    <w:p w14:paraId="33F6D481">
      <w:pPr>
        <w:pStyle w:val="15"/>
        <w:tabs>
          <w:tab w:val="right" w:leader="dot" w:pos="9643"/>
        </w:tabs>
      </w:pPr>
      <w:r>
        <w:rPr>
          <w:rFonts w:hint="eastAsia" w:ascii="宋体" w:hAnsi="宋体" w:eastAsia="宋体" w:cs="宋体"/>
          <w:color w:val="auto"/>
          <w:szCs w:val="28"/>
          <w:highlight w:val="none"/>
        </w:rPr>
        <w:fldChar w:fldCharType="begin"/>
      </w:r>
      <w:r>
        <w:rPr>
          <w:rFonts w:hint="eastAsia" w:ascii="宋体" w:hAnsi="宋体" w:eastAsia="宋体" w:cs="宋体"/>
          <w:szCs w:val="28"/>
          <w:highlight w:val="none"/>
        </w:rPr>
        <w:instrText xml:space="preserve"> HYPERLINK \l _Toc23495 </w:instrText>
      </w:r>
      <w:r>
        <w:rPr>
          <w:rFonts w:hint="eastAsia" w:ascii="宋体" w:hAnsi="宋体" w:eastAsia="宋体" w:cs="宋体"/>
          <w:szCs w:val="28"/>
          <w:highlight w:val="none"/>
        </w:rPr>
        <w:fldChar w:fldCharType="separate"/>
      </w:r>
      <w:r>
        <w:rPr>
          <w:rFonts w:hint="eastAsia" w:ascii="宋体" w:hAnsi="宋体" w:eastAsia="宋体" w:cs="宋体"/>
          <w:szCs w:val="28"/>
          <w:highlight w:val="none"/>
        </w:rPr>
        <w:t>一、总 则</w:t>
      </w:r>
      <w:r>
        <w:tab/>
      </w:r>
      <w:r>
        <w:fldChar w:fldCharType="begin"/>
      </w:r>
      <w:r>
        <w:instrText xml:space="preserve"> PAGEREF _Toc23495 \h </w:instrText>
      </w:r>
      <w:r>
        <w:fldChar w:fldCharType="separate"/>
      </w:r>
      <w:r>
        <w:t>7</w:t>
      </w:r>
      <w:r>
        <w:fldChar w:fldCharType="end"/>
      </w:r>
      <w:r>
        <w:rPr>
          <w:rFonts w:hint="eastAsia" w:ascii="宋体" w:hAnsi="宋体" w:eastAsia="宋体" w:cs="宋体"/>
          <w:color w:val="auto"/>
          <w:szCs w:val="28"/>
          <w:highlight w:val="none"/>
        </w:rPr>
        <w:fldChar w:fldCharType="end"/>
      </w:r>
    </w:p>
    <w:p w14:paraId="6937880A">
      <w:pPr>
        <w:pStyle w:val="15"/>
        <w:tabs>
          <w:tab w:val="right" w:leader="dot" w:pos="9643"/>
        </w:tabs>
      </w:pPr>
      <w:r>
        <w:rPr>
          <w:rFonts w:hint="eastAsia" w:ascii="宋体" w:hAnsi="宋体" w:eastAsia="宋体" w:cs="宋体"/>
          <w:color w:val="auto"/>
          <w:szCs w:val="28"/>
          <w:highlight w:val="none"/>
        </w:rPr>
        <w:fldChar w:fldCharType="begin"/>
      </w:r>
      <w:r>
        <w:rPr>
          <w:rFonts w:hint="eastAsia" w:ascii="宋体" w:hAnsi="宋体" w:eastAsia="宋体" w:cs="宋体"/>
          <w:szCs w:val="28"/>
          <w:highlight w:val="none"/>
        </w:rPr>
        <w:instrText xml:space="preserve"> HYPERLINK \l _Toc30336 </w:instrText>
      </w:r>
      <w:r>
        <w:rPr>
          <w:rFonts w:hint="eastAsia" w:ascii="宋体" w:hAnsi="宋体" w:eastAsia="宋体" w:cs="宋体"/>
          <w:szCs w:val="28"/>
          <w:highlight w:val="none"/>
        </w:rPr>
        <w:fldChar w:fldCharType="separate"/>
      </w:r>
      <w:r>
        <w:rPr>
          <w:rFonts w:hint="eastAsia" w:ascii="宋体" w:hAnsi="宋体" w:eastAsia="宋体" w:cs="宋体"/>
          <w:szCs w:val="28"/>
          <w:highlight w:val="none"/>
        </w:rPr>
        <w:t>二、磋商文件说明</w:t>
      </w:r>
      <w:r>
        <w:tab/>
      </w:r>
      <w:r>
        <w:fldChar w:fldCharType="begin"/>
      </w:r>
      <w:r>
        <w:instrText xml:space="preserve"> PAGEREF _Toc30336 \h </w:instrText>
      </w:r>
      <w:r>
        <w:fldChar w:fldCharType="separate"/>
      </w:r>
      <w:r>
        <w:t>7</w:t>
      </w:r>
      <w:r>
        <w:fldChar w:fldCharType="end"/>
      </w:r>
      <w:r>
        <w:rPr>
          <w:rFonts w:hint="eastAsia" w:ascii="宋体" w:hAnsi="宋体" w:eastAsia="宋体" w:cs="宋体"/>
          <w:color w:val="auto"/>
          <w:szCs w:val="28"/>
          <w:highlight w:val="none"/>
        </w:rPr>
        <w:fldChar w:fldCharType="end"/>
      </w:r>
    </w:p>
    <w:p w14:paraId="72BEA7DE">
      <w:pPr>
        <w:pStyle w:val="15"/>
        <w:tabs>
          <w:tab w:val="right" w:leader="dot" w:pos="9643"/>
        </w:tabs>
      </w:pPr>
      <w:r>
        <w:rPr>
          <w:rFonts w:hint="eastAsia" w:ascii="宋体" w:hAnsi="宋体" w:eastAsia="宋体" w:cs="宋体"/>
          <w:color w:val="auto"/>
          <w:szCs w:val="28"/>
          <w:highlight w:val="none"/>
        </w:rPr>
        <w:fldChar w:fldCharType="begin"/>
      </w:r>
      <w:r>
        <w:rPr>
          <w:rFonts w:hint="eastAsia" w:ascii="宋体" w:hAnsi="宋体" w:eastAsia="宋体" w:cs="宋体"/>
          <w:szCs w:val="28"/>
          <w:highlight w:val="none"/>
        </w:rPr>
        <w:instrText xml:space="preserve"> HYPERLINK \l _Toc6039 </w:instrText>
      </w:r>
      <w:r>
        <w:rPr>
          <w:rFonts w:hint="eastAsia" w:ascii="宋体" w:hAnsi="宋体" w:eastAsia="宋体" w:cs="宋体"/>
          <w:szCs w:val="28"/>
          <w:highlight w:val="none"/>
        </w:rPr>
        <w:fldChar w:fldCharType="separate"/>
      </w:r>
      <w:r>
        <w:rPr>
          <w:rFonts w:hint="eastAsia" w:ascii="宋体" w:hAnsi="宋体" w:eastAsia="宋体" w:cs="宋体"/>
          <w:szCs w:val="28"/>
          <w:highlight w:val="none"/>
        </w:rPr>
        <w:t>三、开标程序</w:t>
      </w:r>
      <w:r>
        <w:tab/>
      </w:r>
      <w:r>
        <w:fldChar w:fldCharType="begin"/>
      </w:r>
      <w:r>
        <w:instrText xml:space="preserve"> PAGEREF _Toc6039 \h </w:instrText>
      </w:r>
      <w:r>
        <w:fldChar w:fldCharType="separate"/>
      </w:r>
      <w:r>
        <w:t>10</w:t>
      </w:r>
      <w:r>
        <w:fldChar w:fldCharType="end"/>
      </w:r>
      <w:r>
        <w:rPr>
          <w:rFonts w:hint="eastAsia" w:ascii="宋体" w:hAnsi="宋体" w:eastAsia="宋体" w:cs="宋体"/>
          <w:color w:val="auto"/>
          <w:szCs w:val="28"/>
          <w:highlight w:val="none"/>
        </w:rPr>
        <w:fldChar w:fldCharType="end"/>
      </w:r>
    </w:p>
    <w:p w14:paraId="54D18327">
      <w:pPr>
        <w:pStyle w:val="15"/>
        <w:tabs>
          <w:tab w:val="right" w:leader="dot" w:pos="9643"/>
        </w:tabs>
      </w:pPr>
      <w:r>
        <w:rPr>
          <w:rFonts w:hint="eastAsia" w:ascii="宋体" w:hAnsi="宋体" w:eastAsia="宋体" w:cs="宋体"/>
          <w:color w:val="auto"/>
          <w:szCs w:val="28"/>
          <w:highlight w:val="none"/>
        </w:rPr>
        <w:fldChar w:fldCharType="begin"/>
      </w:r>
      <w:r>
        <w:rPr>
          <w:rFonts w:hint="eastAsia" w:ascii="宋体" w:hAnsi="宋体" w:eastAsia="宋体" w:cs="宋体"/>
          <w:szCs w:val="28"/>
          <w:highlight w:val="none"/>
        </w:rPr>
        <w:instrText xml:space="preserve"> HYPERLINK \l _Toc9346 </w:instrText>
      </w:r>
      <w:r>
        <w:rPr>
          <w:rFonts w:hint="eastAsia" w:ascii="宋体" w:hAnsi="宋体" w:eastAsia="宋体" w:cs="宋体"/>
          <w:szCs w:val="28"/>
          <w:highlight w:val="none"/>
        </w:rPr>
        <w:fldChar w:fldCharType="separate"/>
      </w:r>
      <w:r>
        <w:rPr>
          <w:rFonts w:hint="eastAsia" w:ascii="宋体" w:hAnsi="宋体" w:eastAsia="宋体" w:cs="宋体"/>
          <w:szCs w:val="28"/>
          <w:highlight w:val="none"/>
        </w:rPr>
        <w:t>四</w:t>
      </w:r>
      <w:r>
        <w:rPr>
          <w:rFonts w:hint="eastAsia" w:ascii="宋体" w:hAnsi="宋体" w:eastAsia="宋体" w:cs="宋体"/>
          <w:szCs w:val="28"/>
          <w:highlight w:val="none"/>
          <w:lang w:eastAsia="zh-CN"/>
        </w:rPr>
        <w:t>、</w:t>
      </w:r>
      <w:r>
        <w:rPr>
          <w:rFonts w:hint="eastAsia" w:ascii="宋体" w:hAnsi="宋体" w:eastAsia="宋体" w:cs="宋体"/>
          <w:szCs w:val="28"/>
          <w:highlight w:val="none"/>
        </w:rPr>
        <w:t>磋商程序与内容</w:t>
      </w:r>
      <w:r>
        <w:tab/>
      </w:r>
      <w:r>
        <w:fldChar w:fldCharType="begin"/>
      </w:r>
      <w:r>
        <w:instrText xml:space="preserve"> PAGEREF _Toc9346 \h </w:instrText>
      </w:r>
      <w:r>
        <w:fldChar w:fldCharType="separate"/>
      </w:r>
      <w:r>
        <w:t>10</w:t>
      </w:r>
      <w:r>
        <w:fldChar w:fldCharType="end"/>
      </w:r>
      <w:r>
        <w:rPr>
          <w:rFonts w:hint="eastAsia" w:ascii="宋体" w:hAnsi="宋体" w:eastAsia="宋体" w:cs="宋体"/>
          <w:color w:val="auto"/>
          <w:szCs w:val="28"/>
          <w:highlight w:val="none"/>
        </w:rPr>
        <w:fldChar w:fldCharType="end"/>
      </w:r>
    </w:p>
    <w:p w14:paraId="52D96901">
      <w:pPr>
        <w:pStyle w:val="15"/>
        <w:tabs>
          <w:tab w:val="right" w:leader="dot" w:pos="9643"/>
        </w:tabs>
      </w:pPr>
      <w:r>
        <w:rPr>
          <w:rFonts w:hint="eastAsia" w:ascii="宋体" w:hAnsi="宋体" w:eastAsia="宋体" w:cs="宋体"/>
          <w:color w:val="auto"/>
          <w:szCs w:val="28"/>
          <w:highlight w:val="none"/>
        </w:rPr>
        <w:fldChar w:fldCharType="begin"/>
      </w:r>
      <w:r>
        <w:rPr>
          <w:rFonts w:hint="eastAsia" w:ascii="宋体" w:hAnsi="宋体" w:eastAsia="宋体" w:cs="宋体"/>
          <w:szCs w:val="28"/>
          <w:highlight w:val="none"/>
        </w:rPr>
        <w:instrText xml:space="preserve"> HYPERLINK \l _Toc8547 </w:instrText>
      </w:r>
      <w:r>
        <w:rPr>
          <w:rFonts w:hint="eastAsia" w:ascii="宋体" w:hAnsi="宋体" w:eastAsia="宋体" w:cs="宋体"/>
          <w:szCs w:val="28"/>
          <w:highlight w:val="none"/>
        </w:rPr>
        <w:fldChar w:fldCharType="separate"/>
      </w:r>
      <w:r>
        <w:rPr>
          <w:rFonts w:hint="eastAsia" w:ascii="宋体" w:hAnsi="宋体" w:eastAsia="宋体" w:cs="宋体"/>
          <w:szCs w:val="24"/>
          <w:highlight w:val="none"/>
        </w:rPr>
        <w:t>19.3.1资格审查</w:t>
      </w:r>
      <w:r>
        <w:tab/>
      </w:r>
      <w:r>
        <w:fldChar w:fldCharType="begin"/>
      </w:r>
      <w:r>
        <w:instrText xml:space="preserve"> PAGEREF _Toc8547 \h </w:instrText>
      </w:r>
      <w:r>
        <w:fldChar w:fldCharType="separate"/>
      </w:r>
      <w:r>
        <w:t>13</w:t>
      </w:r>
      <w:r>
        <w:fldChar w:fldCharType="end"/>
      </w:r>
      <w:r>
        <w:rPr>
          <w:rFonts w:hint="eastAsia" w:ascii="宋体" w:hAnsi="宋体" w:eastAsia="宋体" w:cs="宋体"/>
          <w:color w:val="auto"/>
          <w:szCs w:val="28"/>
          <w:highlight w:val="none"/>
        </w:rPr>
        <w:fldChar w:fldCharType="end"/>
      </w:r>
    </w:p>
    <w:p w14:paraId="214FFA5D">
      <w:pPr>
        <w:pStyle w:val="15"/>
        <w:tabs>
          <w:tab w:val="right" w:leader="dot" w:pos="9643"/>
        </w:tabs>
      </w:pPr>
      <w:r>
        <w:rPr>
          <w:rFonts w:hint="eastAsia" w:ascii="宋体" w:hAnsi="宋体" w:eastAsia="宋体" w:cs="宋体"/>
          <w:color w:val="auto"/>
          <w:szCs w:val="28"/>
          <w:highlight w:val="none"/>
        </w:rPr>
        <w:fldChar w:fldCharType="begin"/>
      </w:r>
      <w:r>
        <w:rPr>
          <w:rFonts w:hint="eastAsia" w:ascii="宋体" w:hAnsi="宋体" w:eastAsia="宋体" w:cs="宋体"/>
          <w:szCs w:val="28"/>
          <w:highlight w:val="none"/>
        </w:rPr>
        <w:instrText xml:space="preserve"> HYPERLINK \l _Toc9032 </w:instrText>
      </w:r>
      <w:r>
        <w:rPr>
          <w:rFonts w:hint="eastAsia" w:ascii="宋体" w:hAnsi="宋体" w:eastAsia="宋体" w:cs="宋体"/>
          <w:szCs w:val="28"/>
          <w:highlight w:val="none"/>
        </w:rPr>
        <w:fldChar w:fldCharType="separate"/>
      </w:r>
      <w:r>
        <w:rPr>
          <w:rFonts w:hint="eastAsia" w:ascii="宋体" w:hAnsi="宋体" w:eastAsia="宋体" w:cs="宋体"/>
          <w:bCs/>
          <w:szCs w:val="24"/>
          <w:highlight w:val="none"/>
        </w:rPr>
        <w:t>19.3.</w:t>
      </w:r>
      <w:r>
        <w:rPr>
          <w:rFonts w:hint="eastAsia" w:ascii="宋体" w:hAnsi="宋体" w:eastAsia="宋体" w:cs="宋体"/>
          <w:bCs/>
          <w:szCs w:val="24"/>
          <w:highlight w:val="none"/>
          <w:lang w:val="en-US" w:eastAsia="zh-CN"/>
        </w:rPr>
        <w:t>2</w:t>
      </w:r>
      <w:r>
        <w:rPr>
          <w:rFonts w:hint="eastAsia" w:ascii="宋体" w:hAnsi="宋体" w:eastAsia="宋体" w:cs="宋体"/>
          <w:szCs w:val="24"/>
          <w:highlight w:val="none"/>
        </w:rPr>
        <w:t>详细性评审评分标准</w:t>
      </w:r>
      <w:r>
        <w:tab/>
      </w:r>
      <w:r>
        <w:fldChar w:fldCharType="begin"/>
      </w:r>
      <w:r>
        <w:instrText xml:space="preserve"> PAGEREF _Toc9032 \h </w:instrText>
      </w:r>
      <w:r>
        <w:fldChar w:fldCharType="separate"/>
      </w:r>
      <w:r>
        <w:t>14</w:t>
      </w:r>
      <w:r>
        <w:fldChar w:fldCharType="end"/>
      </w:r>
      <w:r>
        <w:rPr>
          <w:rFonts w:hint="eastAsia" w:ascii="宋体" w:hAnsi="宋体" w:eastAsia="宋体" w:cs="宋体"/>
          <w:color w:val="auto"/>
          <w:szCs w:val="28"/>
          <w:highlight w:val="none"/>
        </w:rPr>
        <w:fldChar w:fldCharType="end"/>
      </w:r>
    </w:p>
    <w:p w14:paraId="72B3EB88">
      <w:pPr>
        <w:pStyle w:val="15"/>
        <w:tabs>
          <w:tab w:val="right" w:leader="dot" w:pos="9643"/>
        </w:tabs>
      </w:pPr>
      <w:r>
        <w:rPr>
          <w:rFonts w:hint="eastAsia" w:ascii="宋体" w:hAnsi="宋体" w:eastAsia="宋体" w:cs="宋体"/>
          <w:color w:val="auto"/>
          <w:szCs w:val="28"/>
          <w:highlight w:val="none"/>
        </w:rPr>
        <w:fldChar w:fldCharType="begin"/>
      </w:r>
      <w:r>
        <w:rPr>
          <w:rFonts w:hint="eastAsia" w:ascii="宋体" w:hAnsi="宋体" w:eastAsia="宋体" w:cs="宋体"/>
          <w:szCs w:val="28"/>
          <w:highlight w:val="none"/>
        </w:rPr>
        <w:instrText xml:space="preserve"> HYPERLINK \l _Toc18859 </w:instrText>
      </w:r>
      <w:r>
        <w:rPr>
          <w:rFonts w:hint="eastAsia" w:ascii="宋体" w:hAnsi="宋体" w:eastAsia="宋体" w:cs="宋体"/>
          <w:szCs w:val="28"/>
          <w:highlight w:val="none"/>
        </w:rPr>
        <w:fldChar w:fldCharType="separate"/>
      </w:r>
      <w:r>
        <w:rPr>
          <w:rFonts w:hint="eastAsia" w:ascii="宋体" w:hAnsi="宋体" w:eastAsia="宋体" w:cs="宋体"/>
          <w:szCs w:val="24"/>
          <w:highlight w:val="none"/>
        </w:rPr>
        <w:t>五、合同的签订</w:t>
      </w:r>
      <w:r>
        <w:tab/>
      </w:r>
      <w:r>
        <w:fldChar w:fldCharType="begin"/>
      </w:r>
      <w:r>
        <w:instrText xml:space="preserve"> PAGEREF _Toc18859 \h </w:instrText>
      </w:r>
      <w:r>
        <w:fldChar w:fldCharType="separate"/>
      </w:r>
      <w:r>
        <w:t>17</w:t>
      </w:r>
      <w:r>
        <w:fldChar w:fldCharType="end"/>
      </w:r>
      <w:r>
        <w:rPr>
          <w:rFonts w:hint="eastAsia" w:ascii="宋体" w:hAnsi="宋体" w:eastAsia="宋体" w:cs="宋体"/>
          <w:color w:val="auto"/>
          <w:szCs w:val="28"/>
          <w:highlight w:val="none"/>
        </w:rPr>
        <w:fldChar w:fldCharType="end"/>
      </w:r>
    </w:p>
    <w:p w14:paraId="573922ED">
      <w:pPr>
        <w:pStyle w:val="15"/>
        <w:tabs>
          <w:tab w:val="right" w:leader="dot" w:pos="9643"/>
        </w:tabs>
      </w:pPr>
      <w:r>
        <w:rPr>
          <w:rFonts w:hint="eastAsia" w:ascii="宋体" w:hAnsi="宋体" w:eastAsia="宋体" w:cs="宋体"/>
          <w:color w:val="auto"/>
          <w:szCs w:val="28"/>
          <w:highlight w:val="none"/>
        </w:rPr>
        <w:fldChar w:fldCharType="begin"/>
      </w:r>
      <w:r>
        <w:rPr>
          <w:rFonts w:hint="eastAsia" w:ascii="宋体" w:hAnsi="宋体" w:eastAsia="宋体" w:cs="宋体"/>
          <w:szCs w:val="28"/>
          <w:highlight w:val="none"/>
        </w:rPr>
        <w:instrText xml:space="preserve"> HYPERLINK \l _Toc20795 </w:instrText>
      </w:r>
      <w:r>
        <w:rPr>
          <w:rFonts w:hint="eastAsia" w:ascii="宋体" w:hAnsi="宋体" w:eastAsia="宋体" w:cs="宋体"/>
          <w:szCs w:val="28"/>
          <w:highlight w:val="none"/>
        </w:rPr>
        <w:fldChar w:fldCharType="separate"/>
      </w:r>
      <w:r>
        <w:rPr>
          <w:rFonts w:hint="eastAsia" w:ascii="宋体" w:hAnsi="宋体" w:eastAsia="宋体" w:cs="宋体"/>
          <w:szCs w:val="24"/>
          <w:highlight w:val="none"/>
        </w:rPr>
        <w:t>六、其他说明</w:t>
      </w:r>
      <w:r>
        <w:tab/>
      </w:r>
      <w:r>
        <w:fldChar w:fldCharType="begin"/>
      </w:r>
      <w:r>
        <w:instrText xml:space="preserve"> PAGEREF _Toc20795 \h </w:instrText>
      </w:r>
      <w:r>
        <w:fldChar w:fldCharType="separate"/>
      </w:r>
      <w:r>
        <w:t>17</w:t>
      </w:r>
      <w:r>
        <w:fldChar w:fldCharType="end"/>
      </w:r>
      <w:r>
        <w:rPr>
          <w:rFonts w:hint="eastAsia" w:ascii="宋体" w:hAnsi="宋体" w:eastAsia="宋体" w:cs="宋体"/>
          <w:color w:val="auto"/>
          <w:szCs w:val="28"/>
          <w:highlight w:val="none"/>
        </w:rPr>
        <w:fldChar w:fldCharType="end"/>
      </w:r>
    </w:p>
    <w:p w14:paraId="65049AE0">
      <w:pPr>
        <w:pStyle w:val="14"/>
        <w:tabs>
          <w:tab w:val="right" w:leader="dot" w:pos="9643"/>
        </w:tabs>
      </w:pPr>
      <w:r>
        <w:rPr>
          <w:rFonts w:hint="eastAsia" w:ascii="宋体" w:hAnsi="宋体" w:eastAsia="宋体" w:cs="宋体"/>
          <w:color w:val="auto"/>
          <w:szCs w:val="28"/>
          <w:highlight w:val="none"/>
        </w:rPr>
        <w:fldChar w:fldCharType="begin"/>
      </w:r>
      <w:r>
        <w:rPr>
          <w:rFonts w:hint="eastAsia" w:ascii="宋体" w:hAnsi="宋体" w:eastAsia="宋体" w:cs="宋体"/>
          <w:szCs w:val="28"/>
          <w:highlight w:val="none"/>
        </w:rPr>
        <w:instrText xml:space="preserve"> HYPERLINK \l _Toc3477 </w:instrText>
      </w:r>
      <w:r>
        <w:rPr>
          <w:rFonts w:hint="eastAsia" w:ascii="宋体" w:hAnsi="宋体" w:eastAsia="宋体" w:cs="宋体"/>
          <w:szCs w:val="28"/>
          <w:highlight w:val="none"/>
        </w:rPr>
        <w:fldChar w:fldCharType="separate"/>
      </w:r>
      <w:r>
        <w:rPr>
          <w:rFonts w:hint="eastAsia" w:ascii="宋体" w:hAnsi="宋体" w:eastAsia="宋体" w:cs="宋体"/>
          <w:szCs w:val="36"/>
          <w:highlight w:val="none"/>
        </w:rPr>
        <w:t xml:space="preserve">第三章  </w:t>
      </w:r>
      <w:r>
        <w:rPr>
          <w:rFonts w:hint="eastAsia" w:ascii="宋体" w:hAnsi="宋体" w:eastAsia="宋体" w:cs="宋体"/>
          <w:szCs w:val="36"/>
          <w:highlight w:val="none"/>
          <w:lang w:eastAsia="zh-CN"/>
        </w:rPr>
        <w:t>采购需求</w:t>
      </w:r>
      <w:r>
        <w:tab/>
      </w:r>
      <w:r>
        <w:fldChar w:fldCharType="begin"/>
      </w:r>
      <w:r>
        <w:instrText xml:space="preserve"> PAGEREF _Toc3477 \h </w:instrText>
      </w:r>
      <w:r>
        <w:fldChar w:fldCharType="separate"/>
      </w:r>
      <w:r>
        <w:t>19</w:t>
      </w:r>
      <w:r>
        <w:fldChar w:fldCharType="end"/>
      </w:r>
      <w:r>
        <w:rPr>
          <w:rFonts w:hint="eastAsia" w:ascii="宋体" w:hAnsi="宋体" w:eastAsia="宋体" w:cs="宋体"/>
          <w:color w:val="auto"/>
          <w:szCs w:val="28"/>
          <w:highlight w:val="none"/>
        </w:rPr>
        <w:fldChar w:fldCharType="end"/>
      </w:r>
    </w:p>
    <w:p w14:paraId="30B65383">
      <w:pPr>
        <w:pStyle w:val="14"/>
        <w:tabs>
          <w:tab w:val="right" w:leader="dot" w:pos="9643"/>
        </w:tabs>
      </w:pPr>
      <w:r>
        <w:rPr>
          <w:rFonts w:hint="eastAsia" w:ascii="宋体" w:hAnsi="宋体" w:eastAsia="宋体" w:cs="宋体"/>
          <w:color w:val="auto"/>
          <w:szCs w:val="28"/>
          <w:highlight w:val="none"/>
        </w:rPr>
        <w:fldChar w:fldCharType="begin"/>
      </w:r>
      <w:r>
        <w:rPr>
          <w:rFonts w:hint="eastAsia" w:ascii="宋体" w:hAnsi="宋体" w:eastAsia="宋体" w:cs="宋体"/>
          <w:szCs w:val="28"/>
          <w:highlight w:val="none"/>
        </w:rPr>
        <w:instrText xml:space="preserve"> HYPERLINK \l _Toc21974 </w:instrText>
      </w:r>
      <w:r>
        <w:rPr>
          <w:rFonts w:hint="eastAsia" w:ascii="宋体" w:hAnsi="宋体" w:eastAsia="宋体" w:cs="宋体"/>
          <w:szCs w:val="28"/>
          <w:highlight w:val="none"/>
        </w:rPr>
        <w:fldChar w:fldCharType="separate"/>
      </w:r>
      <w:r>
        <w:rPr>
          <w:rFonts w:hint="eastAsia" w:ascii="宋体" w:hAnsi="宋体" w:eastAsia="宋体" w:cs="宋体"/>
          <w:kern w:val="0"/>
          <w:highlight w:val="none"/>
        </w:rPr>
        <w:t>第四章  合同（中标后与业主另行签订）</w:t>
      </w:r>
      <w:r>
        <w:tab/>
      </w:r>
      <w:r>
        <w:fldChar w:fldCharType="begin"/>
      </w:r>
      <w:r>
        <w:instrText xml:space="preserve"> PAGEREF _Toc21974 \h </w:instrText>
      </w:r>
      <w:r>
        <w:fldChar w:fldCharType="separate"/>
      </w:r>
      <w:r>
        <w:t>21</w:t>
      </w:r>
      <w:r>
        <w:fldChar w:fldCharType="end"/>
      </w:r>
      <w:r>
        <w:rPr>
          <w:rFonts w:hint="eastAsia" w:ascii="宋体" w:hAnsi="宋体" w:eastAsia="宋体" w:cs="宋体"/>
          <w:color w:val="auto"/>
          <w:szCs w:val="28"/>
          <w:highlight w:val="none"/>
        </w:rPr>
        <w:fldChar w:fldCharType="end"/>
      </w:r>
    </w:p>
    <w:p w14:paraId="21ADC2FE">
      <w:pPr>
        <w:pStyle w:val="14"/>
        <w:tabs>
          <w:tab w:val="right" w:leader="dot" w:pos="9643"/>
        </w:tabs>
      </w:pPr>
      <w:r>
        <w:rPr>
          <w:rFonts w:hint="eastAsia" w:ascii="宋体" w:hAnsi="宋体" w:eastAsia="宋体" w:cs="宋体"/>
          <w:color w:val="auto"/>
          <w:szCs w:val="28"/>
          <w:highlight w:val="none"/>
        </w:rPr>
        <w:fldChar w:fldCharType="begin"/>
      </w:r>
      <w:r>
        <w:rPr>
          <w:rFonts w:hint="eastAsia" w:ascii="宋体" w:hAnsi="宋体" w:eastAsia="宋体" w:cs="宋体"/>
          <w:szCs w:val="28"/>
          <w:highlight w:val="none"/>
        </w:rPr>
        <w:instrText xml:space="preserve"> HYPERLINK \l _Toc25046 </w:instrText>
      </w:r>
      <w:r>
        <w:rPr>
          <w:rFonts w:hint="eastAsia" w:ascii="宋体" w:hAnsi="宋体" w:eastAsia="宋体" w:cs="宋体"/>
          <w:szCs w:val="28"/>
          <w:highlight w:val="none"/>
        </w:rPr>
        <w:fldChar w:fldCharType="separate"/>
      </w:r>
      <w:r>
        <w:rPr>
          <w:rFonts w:hint="eastAsia" w:ascii="宋体" w:hAnsi="宋体" w:eastAsia="宋体" w:cs="宋体"/>
          <w:kern w:val="0"/>
          <w:szCs w:val="36"/>
          <w:highlight w:val="none"/>
        </w:rPr>
        <w:t>第</w:t>
      </w:r>
      <w:r>
        <w:rPr>
          <w:rFonts w:hint="eastAsia" w:ascii="宋体" w:hAnsi="宋体" w:eastAsia="宋体" w:cs="宋体"/>
          <w:kern w:val="0"/>
          <w:szCs w:val="36"/>
          <w:highlight w:val="none"/>
          <w:lang w:val="en-US" w:eastAsia="zh-CN"/>
        </w:rPr>
        <w:t>五</w:t>
      </w:r>
      <w:r>
        <w:rPr>
          <w:rFonts w:hint="eastAsia" w:ascii="宋体" w:hAnsi="宋体" w:eastAsia="宋体" w:cs="宋体"/>
          <w:kern w:val="0"/>
          <w:szCs w:val="36"/>
          <w:highlight w:val="none"/>
        </w:rPr>
        <w:t>章  磋商响应文件格式</w:t>
      </w:r>
      <w:r>
        <w:tab/>
      </w:r>
      <w:r>
        <w:fldChar w:fldCharType="begin"/>
      </w:r>
      <w:r>
        <w:instrText xml:space="preserve"> PAGEREF _Toc25046 \h </w:instrText>
      </w:r>
      <w:r>
        <w:fldChar w:fldCharType="separate"/>
      </w:r>
      <w:r>
        <w:t>22</w:t>
      </w:r>
      <w:r>
        <w:fldChar w:fldCharType="end"/>
      </w:r>
      <w:r>
        <w:rPr>
          <w:rFonts w:hint="eastAsia" w:ascii="宋体" w:hAnsi="宋体" w:eastAsia="宋体" w:cs="宋体"/>
          <w:color w:val="auto"/>
          <w:szCs w:val="28"/>
          <w:highlight w:val="none"/>
        </w:rPr>
        <w:fldChar w:fldCharType="end"/>
      </w:r>
    </w:p>
    <w:p w14:paraId="54318515">
      <w:pPr>
        <w:pStyle w:val="15"/>
        <w:tabs>
          <w:tab w:val="right" w:leader="dot" w:pos="9643"/>
        </w:tabs>
      </w:pPr>
      <w:r>
        <w:rPr>
          <w:rFonts w:hint="eastAsia" w:ascii="宋体" w:hAnsi="宋体" w:eastAsia="宋体" w:cs="宋体"/>
          <w:color w:val="auto"/>
          <w:szCs w:val="28"/>
          <w:highlight w:val="none"/>
        </w:rPr>
        <w:fldChar w:fldCharType="begin"/>
      </w:r>
      <w:r>
        <w:rPr>
          <w:rFonts w:hint="eastAsia" w:ascii="宋体" w:hAnsi="宋体" w:eastAsia="宋体" w:cs="宋体"/>
          <w:szCs w:val="28"/>
          <w:highlight w:val="none"/>
        </w:rPr>
        <w:instrText xml:space="preserve"> HYPERLINK \l _Toc14720 </w:instrText>
      </w:r>
      <w:r>
        <w:rPr>
          <w:rFonts w:hint="eastAsia" w:ascii="宋体" w:hAnsi="宋体" w:eastAsia="宋体" w:cs="宋体"/>
          <w:szCs w:val="28"/>
          <w:highlight w:val="none"/>
        </w:rPr>
        <w:fldChar w:fldCharType="separate"/>
      </w:r>
      <w:r>
        <w:rPr>
          <w:rFonts w:hint="eastAsia" w:ascii="宋体" w:hAnsi="宋体"/>
          <w:kern w:val="0"/>
          <w:szCs w:val="36"/>
          <w:highlight w:val="none"/>
          <w:lang w:eastAsia="zh-CN"/>
        </w:rPr>
        <w:t>响应</w:t>
      </w:r>
      <w:r>
        <w:rPr>
          <w:rFonts w:hint="eastAsia" w:ascii="宋体" w:hAnsi="宋体"/>
          <w:kern w:val="0"/>
          <w:szCs w:val="36"/>
          <w:highlight w:val="none"/>
        </w:rPr>
        <w:t>主要文件目录</w:t>
      </w:r>
      <w:r>
        <w:tab/>
      </w:r>
      <w:r>
        <w:fldChar w:fldCharType="begin"/>
      </w:r>
      <w:r>
        <w:instrText xml:space="preserve"> PAGEREF _Toc14720 \h </w:instrText>
      </w:r>
      <w:r>
        <w:fldChar w:fldCharType="separate"/>
      </w:r>
      <w:r>
        <w:t>23</w:t>
      </w:r>
      <w:r>
        <w:fldChar w:fldCharType="end"/>
      </w:r>
      <w:r>
        <w:rPr>
          <w:rFonts w:hint="eastAsia" w:ascii="宋体" w:hAnsi="宋体" w:eastAsia="宋体" w:cs="宋体"/>
          <w:color w:val="auto"/>
          <w:szCs w:val="28"/>
          <w:highlight w:val="none"/>
        </w:rPr>
        <w:fldChar w:fldCharType="end"/>
      </w:r>
    </w:p>
    <w:p w14:paraId="23CA8287">
      <w:pPr>
        <w:pStyle w:val="15"/>
        <w:tabs>
          <w:tab w:val="right" w:leader="dot" w:pos="9643"/>
        </w:tabs>
      </w:pPr>
      <w:r>
        <w:rPr>
          <w:rFonts w:hint="eastAsia" w:ascii="宋体" w:hAnsi="宋体" w:eastAsia="宋体" w:cs="宋体"/>
          <w:color w:val="auto"/>
          <w:szCs w:val="28"/>
          <w:highlight w:val="none"/>
        </w:rPr>
        <w:fldChar w:fldCharType="begin"/>
      </w:r>
      <w:r>
        <w:rPr>
          <w:rFonts w:hint="eastAsia" w:ascii="宋体" w:hAnsi="宋体" w:eastAsia="宋体" w:cs="宋体"/>
          <w:szCs w:val="28"/>
          <w:highlight w:val="none"/>
        </w:rPr>
        <w:instrText xml:space="preserve"> HYPERLINK \l _Toc435 </w:instrText>
      </w:r>
      <w:r>
        <w:rPr>
          <w:rFonts w:hint="eastAsia" w:ascii="宋体" w:hAnsi="宋体" w:eastAsia="宋体" w:cs="宋体"/>
          <w:szCs w:val="28"/>
          <w:highlight w:val="none"/>
        </w:rPr>
        <w:fldChar w:fldCharType="separate"/>
      </w:r>
      <w:r>
        <w:rPr>
          <w:rFonts w:hint="eastAsia" w:ascii="宋体" w:hAnsi="宋体"/>
          <w:szCs w:val="36"/>
          <w:highlight w:val="none"/>
        </w:rPr>
        <w:t>竞争性磋商响应函</w:t>
      </w:r>
      <w:r>
        <w:tab/>
      </w:r>
      <w:r>
        <w:fldChar w:fldCharType="begin"/>
      </w:r>
      <w:r>
        <w:instrText xml:space="preserve"> PAGEREF _Toc435 \h </w:instrText>
      </w:r>
      <w:r>
        <w:fldChar w:fldCharType="separate"/>
      </w:r>
      <w:r>
        <w:t>24</w:t>
      </w:r>
      <w:r>
        <w:fldChar w:fldCharType="end"/>
      </w:r>
      <w:r>
        <w:rPr>
          <w:rFonts w:hint="eastAsia" w:ascii="宋体" w:hAnsi="宋体" w:eastAsia="宋体" w:cs="宋体"/>
          <w:color w:val="auto"/>
          <w:szCs w:val="28"/>
          <w:highlight w:val="none"/>
        </w:rPr>
        <w:fldChar w:fldCharType="end"/>
      </w:r>
    </w:p>
    <w:p w14:paraId="2109D0D5">
      <w:pPr>
        <w:pStyle w:val="15"/>
        <w:tabs>
          <w:tab w:val="right" w:leader="dot" w:pos="9643"/>
        </w:tabs>
      </w:pPr>
      <w:r>
        <w:rPr>
          <w:rFonts w:hint="eastAsia" w:ascii="宋体" w:hAnsi="宋体" w:eastAsia="宋体" w:cs="宋体"/>
          <w:color w:val="auto"/>
          <w:szCs w:val="28"/>
          <w:highlight w:val="none"/>
        </w:rPr>
        <w:fldChar w:fldCharType="begin"/>
      </w:r>
      <w:r>
        <w:rPr>
          <w:rFonts w:hint="eastAsia" w:ascii="宋体" w:hAnsi="宋体" w:eastAsia="宋体" w:cs="宋体"/>
          <w:szCs w:val="28"/>
          <w:highlight w:val="none"/>
        </w:rPr>
        <w:instrText xml:space="preserve"> HYPERLINK \l _Toc13562 </w:instrText>
      </w:r>
      <w:r>
        <w:rPr>
          <w:rFonts w:hint="eastAsia" w:ascii="宋体" w:hAnsi="宋体" w:eastAsia="宋体" w:cs="宋体"/>
          <w:szCs w:val="28"/>
          <w:highlight w:val="none"/>
        </w:rPr>
        <w:fldChar w:fldCharType="separate"/>
      </w:r>
      <w:r>
        <w:rPr>
          <w:rFonts w:hint="eastAsia" w:ascii="宋体" w:hAnsi="宋体"/>
          <w:szCs w:val="36"/>
          <w:highlight w:val="none"/>
        </w:rPr>
        <w:t>法定代表人资格证明文件</w:t>
      </w:r>
      <w:r>
        <w:tab/>
      </w:r>
      <w:r>
        <w:fldChar w:fldCharType="begin"/>
      </w:r>
      <w:r>
        <w:instrText xml:space="preserve"> PAGEREF _Toc13562 \h </w:instrText>
      </w:r>
      <w:r>
        <w:fldChar w:fldCharType="separate"/>
      </w:r>
      <w:r>
        <w:t>25</w:t>
      </w:r>
      <w:r>
        <w:fldChar w:fldCharType="end"/>
      </w:r>
      <w:r>
        <w:rPr>
          <w:rFonts w:hint="eastAsia" w:ascii="宋体" w:hAnsi="宋体" w:eastAsia="宋体" w:cs="宋体"/>
          <w:color w:val="auto"/>
          <w:szCs w:val="28"/>
          <w:highlight w:val="none"/>
        </w:rPr>
        <w:fldChar w:fldCharType="end"/>
      </w:r>
    </w:p>
    <w:p w14:paraId="2699977D">
      <w:pPr>
        <w:pStyle w:val="15"/>
        <w:tabs>
          <w:tab w:val="right" w:leader="dot" w:pos="9643"/>
        </w:tabs>
      </w:pPr>
      <w:r>
        <w:rPr>
          <w:rFonts w:hint="eastAsia" w:ascii="宋体" w:hAnsi="宋体" w:eastAsia="宋体" w:cs="宋体"/>
          <w:color w:val="auto"/>
          <w:szCs w:val="28"/>
          <w:highlight w:val="none"/>
        </w:rPr>
        <w:fldChar w:fldCharType="begin"/>
      </w:r>
      <w:r>
        <w:rPr>
          <w:rFonts w:hint="eastAsia" w:ascii="宋体" w:hAnsi="宋体" w:eastAsia="宋体" w:cs="宋体"/>
          <w:szCs w:val="28"/>
          <w:highlight w:val="none"/>
        </w:rPr>
        <w:instrText xml:space="preserve"> HYPERLINK \l _Toc19249 </w:instrText>
      </w:r>
      <w:r>
        <w:rPr>
          <w:rFonts w:hint="eastAsia" w:ascii="宋体" w:hAnsi="宋体" w:eastAsia="宋体" w:cs="宋体"/>
          <w:szCs w:val="28"/>
          <w:highlight w:val="none"/>
        </w:rPr>
        <w:fldChar w:fldCharType="separate"/>
      </w:r>
      <w:r>
        <w:rPr>
          <w:rFonts w:hint="eastAsia" w:ascii="宋体" w:hAnsi="宋体"/>
          <w:szCs w:val="36"/>
          <w:highlight w:val="none"/>
        </w:rPr>
        <w:t>法定代表人授权书</w:t>
      </w:r>
      <w:r>
        <w:tab/>
      </w:r>
      <w:r>
        <w:fldChar w:fldCharType="begin"/>
      </w:r>
      <w:r>
        <w:instrText xml:space="preserve"> PAGEREF _Toc19249 \h </w:instrText>
      </w:r>
      <w:r>
        <w:fldChar w:fldCharType="separate"/>
      </w:r>
      <w:r>
        <w:t>26</w:t>
      </w:r>
      <w:r>
        <w:fldChar w:fldCharType="end"/>
      </w:r>
      <w:r>
        <w:rPr>
          <w:rFonts w:hint="eastAsia" w:ascii="宋体" w:hAnsi="宋体" w:eastAsia="宋体" w:cs="宋体"/>
          <w:color w:val="auto"/>
          <w:szCs w:val="28"/>
          <w:highlight w:val="none"/>
        </w:rPr>
        <w:fldChar w:fldCharType="end"/>
      </w:r>
    </w:p>
    <w:p w14:paraId="3CEAA1CC">
      <w:pPr>
        <w:pStyle w:val="15"/>
        <w:tabs>
          <w:tab w:val="right" w:leader="dot" w:pos="9643"/>
        </w:tabs>
      </w:pPr>
      <w:r>
        <w:rPr>
          <w:rFonts w:hint="eastAsia" w:ascii="宋体" w:hAnsi="宋体" w:eastAsia="宋体" w:cs="宋体"/>
          <w:color w:val="auto"/>
          <w:szCs w:val="28"/>
          <w:highlight w:val="none"/>
        </w:rPr>
        <w:fldChar w:fldCharType="begin"/>
      </w:r>
      <w:r>
        <w:rPr>
          <w:rFonts w:hint="eastAsia" w:ascii="宋体" w:hAnsi="宋体" w:eastAsia="宋体" w:cs="宋体"/>
          <w:szCs w:val="28"/>
          <w:highlight w:val="none"/>
        </w:rPr>
        <w:instrText xml:space="preserve"> HYPERLINK \l _Toc15703 </w:instrText>
      </w:r>
      <w:r>
        <w:rPr>
          <w:rFonts w:hint="eastAsia" w:ascii="宋体" w:hAnsi="宋体" w:eastAsia="宋体" w:cs="宋体"/>
          <w:szCs w:val="28"/>
          <w:highlight w:val="none"/>
        </w:rPr>
        <w:fldChar w:fldCharType="separate"/>
      </w:r>
      <w:r>
        <w:rPr>
          <w:rFonts w:hint="eastAsia" w:ascii="宋体" w:hAnsi="宋体"/>
          <w:szCs w:val="36"/>
          <w:highlight w:val="none"/>
          <w:lang w:val="en-US" w:eastAsia="zh-CN"/>
        </w:rPr>
        <w:t xml:space="preserve">磋 商 </w:t>
      </w:r>
      <w:r>
        <w:rPr>
          <w:rFonts w:hint="eastAsia" w:ascii="宋体" w:hAnsi="宋体"/>
          <w:szCs w:val="36"/>
          <w:highlight w:val="none"/>
        </w:rPr>
        <w:t>报 价 表</w:t>
      </w:r>
      <w:r>
        <w:tab/>
      </w:r>
      <w:r>
        <w:fldChar w:fldCharType="begin"/>
      </w:r>
      <w:r>
        <w:instrText xml:space="preserve"> PAGEREF _Toc15703 \h </w:instrText>
      </w:r>
      <w:r>
        <w:fldChar w:fldCharType="separate"/>
      </w:r>
      <w:r>
        <w:t>27</w:t>
      </w:r>
      <w:r>
        <w:fldChar w:fldCharType="end"/>
      </w:r>
      <w:r>
        <w:rPr>
          <w:rFonts w:hint="eastAsia" w:ascii="宋体" w:hAnsi="宋体" w:eastAsia="宋体" w:cs="宋体"/>
          <w:color w:val="auto"/>
          <w:szCs w:val="28"/>
          <w:highlight w:val="none"/>
        </w:rPr>
        <w:fldChar w:fldCharType="end"/>
      </w:r>
    </w:p>
    <w:p w14:paraId="2AE94E28">
      <w:pPr>
        <w:pStyle w:val="15"/>
        <w:tabs>
          <w:tab w:val="right" w:leader="dot" w:pos="9643"/>
        </w:tabs>
      </w:pPr>
      <w:r>
        <w:rPr>
          <w:rFonts w:hint="eastAsia" w:ascii="宋体" w:hAnsi="宋体" w:eastAsia="宋体" w:cs="宋体"/>
          <w:color w:val="auto"/>
          <w:szCs w:val="28"/>
          <w:highlight w:val="none"/>
        </w:rPr>
        <w:fldChar w:fldCharType="begin"/>
      </w:r>
      <w:r>
        <w:rPr>
          <w:rFonts w:hint="eastAsia" w:ascii="宋体" w:hAnsi="宋体" w:eastAsia="宋体" w:cs="宋体"/>
          <w:szCs w:val="28"/>
          <w:highlight w:val="none"/>
        </w:rPr>
        <w:instrText xml:space="preserve"> HYPERLINK \l _Toc14772 </w:instrText>
      </w:r>
      <w:r>
        <w:rPr>
          <w:rFonts w:hint="eastAsia" w:ascii="宋体" w:hAnsi="宋体" w:eastAsia="宋体" w:cs="宋体"/>
          <w:szCs w:val="28"/>
          <w:highlight w:val="none"/>
        </w:rPr>
        <w:fldChar w:fldCharType="separate"/>
      </w:r>
      <w:r>
        <w:rPr>
          <w:rFonts w:hint="eastAsia"/>
          <w:bCs/>
          <w:szCs w:val="30"/>
          <w:highlight w:val="none"/>
          <w:lang w:val="en-US" w:eastAsia="zh-CN"/>
        </w:rPr>
        <w:t>分项报价明细表</w:t>
      </w:r>
      <w:r>
        <w:tab/>
      </w:r>
      <w:r>
        <w:fldChar w:fldCharType="begin"/>
      </w:r>
      <w:r>
        <w:instrText xml:space="preserve"> PAGEREF _Toc14772 \h </w:instrText>
      </w:r>
      <w:r>
        <w:fldChar w:fldCharType="separate"/>
      </w:r>
      <w:r>
        <w:t>28</w:t>
      </w:r>
      <w:r>
        <w:fldChar w:fldCharType="end"/>
      </w:r>
      <w:r>
        <w:rPr>
          <w:rFonts w:hint="eastAsia" w:ascii="宋体" w:hAnsi="宋体" w:eastAsia="宋体" w:cs="宋体"/>
          <w:color w:val="auto"/>
          <w:szCs w:val="28"/>
          <w:highlight w:val="none"/>
        </w:rPr>
        <w:fldChar w:fldCharType="end"/>
      </w:r>
    </w:p>
    <w:p w14:paraId="2DFF2267">
      <w:pPr>
        <w:pStyle w:val="15"/>
        <w:tabs>
          <w:tab w:val="right" w:leader="dot" w:pos="9643"/>
        </w:tabs>
      </w:pPr>
      <w:r>
        <w:rPr>
          <w:rFonts w:hint="eastAsia" w:ascii="宋体" w:hAnsi="宋体" w:eastAsia="宋体" w:cs="宋体"/>
          <w:color w:val="auto"/>
          <w:szCs w:val="28"/>
          <w:highlight w:val="none"/>
        </w:rPr>
        <w:fldChar w:fldCharType="begin"/>
      </w:r>
      <w:r>
        <w:rPr>
          <w:rFonts w:hint="eastAsia" w:ascii="宋体" w:hAnsi="宋体" w:eastAsia="宋体" w:cs="宋体"/>
          <w:szCs w:val="28"/>
          <w:highlight w:val="none"/>
        </w:rPr>
        <w:instrText xml:space="preserve"> HYPERLINK \l _Toc14492 </w:instrText>
      </w:r>
      <w:r>
        <w:rPr>
          <w:rFonts w:hint="eastAsia" w:ascii="宋体" w:hAnsi="宋体" w:eastAsia="宋体" w:cs="宋体"/>
          <w:szCs w:val="28"/>
          <w:highlight w:val="none"/>
        </w:rPr>
        <w:fldChar w:fldCharType="separate"/>
      </w:r>
      <w:r>
        <w:rPr>
          <w:rFonts w:hint="eastAsia" w:ascii="宋体" w:hAnsi="宋体" w:cs="宋体"/>
          <w:szCs w:val="36"/>
          <w:highlight w:val="none"/>
          <w:lang w:eastAsia="zh-CN"/>
        </w:rPr>
        <w:t>安福寺镇生活垃圾转运、无害化处理服务采购项目</w:t>
      </w:r>
      <w:r>
        <w:tab/>
      </w:r>
      <w:r>
        <w:fldChar w:fldCharType="begin"/>
      </w:r>
      <w:r>
        <w:instrText xml:space="preserve"> PAGEREF _Toc14492 \h </w:instrText>
      </w:r>
      <w:r>
        <w:fldChar w:fldCharType="separate"/>
      </w:r>
      <w:r>
        <w:t>29</w:t>
      </w:r>
      <w:r>
        <w:fldChar w:fldCharType="end"/>
      </w:r>
      <w:r>
        <w:rPr>
          <w:rFonts w:hint="eastAsia" w:ascii="宋体" w:hAnsi="宋体" w:eastAsia="宋体" w:cs="宋体"/>
          <w:color w:val="auto"/>
          <w:szCs w:val="28"/>
          <w:highlight w:val="none"/>
        </w:rPr>
        <w:fldChar w:fldCharType="end"/>
      </w:r>
    </w:p>
    <w:p w14:paraId="38C4A4AC">
      <w:pPr>
        <w:pStyle w:val="15"/>
        <w:tabs>
          <w:tab w:val="right" w:leader="dot" w:pos="9643"/>
        </w:tabs>
      </w:pPr>
      <w:r>
        <w:rPr>
          <w:rFonts w:hint="eastAsia" w:ascii="宋体" w:hAnsi="宋体" w:eastAsia="宋体" w:cs="宋体"/>
          <w:color w:val="auto"/>
          <w:szCs w:val="28"/>
          <w:highlight w:val="none"/>
        </w:rPr>
        <w:fldChar w:fldCharType="begin"/>
      </w:r>
      <w:r>
        <w:rPr>
          <w:rFonts w:hint="eastAsia" w:ascii="宋体" w:hAnsi="宋体" w:eastAsia="宋体" w:cs="宋体"/>
          <w:szCs w:val="28"/>
          <w:highlight w:val="none"/>
        </w:rPr>
        <w:instrText xml:space="preserve"> HYPERLINK \l _Toc23193 </w:instrText>
      </w:r>
      <w:r>
        <w:rPr>
          <w:rFonts w:hint="eastAsia" w:ascii="宋体" w:hAnsi="宋体" w:eastAsia="宋体" w:cs="宋体"/>
          <w:szCs w:val="28"/>
          <w:highlight w:val="none"/>
        </w:rPr>
        <w:fldChar w:fldCharType="separate"/>
      </w:r>
      <w:r>
        <w:rPr>
          <w:rFonts w:hint="eastAsia" w:ascii="宋体" w:hAnsi="宋体" w:cs="宋体"/>
          <w:szCs w:val="36"/>
          <w:highlight w:val="none"/>
        </w:rPr>
        <w:t>第二次报价表</w:t>
      </w:r>
      <w:r>
        <w:tab/>
      </w:r>
      <w:r>
        <w:fldChar w:fldCharType="begin"/>
      </w:r>
      <w:r>
        <w:instrText xml:space="preserve"> PAGEREF _Toc23193 \h </w:instrText>
      </w:r>
      <w:r>
        <w:fldChar w:fldCharType="separate"/>
      </w:r>
      <w:r>
        <w:t>29</w:t>
      </w:r>
      <w:r>
        <w:fldChar w:fldCharType="end"/>
      </w:r>
      <w:r>
        <w:rPr>
          <w:rFonts w:hint="eastAsia" w:ascii="宋体" w:hAnsi="宋体" w:eastAsia="宋体" w:cs="宋体"/>
          <w:color w:val="auto"/>
          <w:szCs w:val="28"/>
          <w:highlight w:val="none"/>
        </w:rPr>
        <w:fldChar w:fldCharType="end"/>
      </w:r>
    </w:p>
    <w:p w14:paraId="03593B00">
      <w:pPr>
        <w:pStyle w:val="15"/>
        <w:tabs>
          <w:tab w:val="right" w:leader="dot" w:pos="9643"/>
        </w:tabs>
      </w:pPr>
      <w:r>
        <w:rPr>
          <w:rFonts w:hint="eastAsia" w:ascii="宋体" w:hAnsi="宋体" w:eastAsia="宋体" w:cs="宋体"/>
          <w:color w:val="auto"/>
          <w:szCs w:val="28"/>
          <w:highlight w:val="none"/>
        </w:rPr>
        <w:fldChar w:fldCharType="begin"/>
      </w:r>
      <w:r>
        <w:rPr>
          <w:rFonts w:hint="eastAsia" w:ascii="宋体" w:hAnsi="宋体" w:eastAsia="宋体" w:cs="宋体"/>
          <w:szCs w:val="28"/>
          <w:highlight w:val="none"/>
        </w:rPr>
        <w:instrText xml:space="preserve"> HYPERLINK \l _Toc26743 </w:instrText>
      </w:r>
      <w:r>
        <w:rPr>
          <w:rFonts w:hint="eastAsia" w:ascii="宋体" w:hAnsi="宋体" w:eastAsia="宋体" w:cs="宋体"/>
          <w:szCs w:val="28"/>
          <w:highlight w:val="none"/>
        </w:rPr>
        <w:fldChar w:fldCharType="separate"/>
      </w:r>
      <w:r>
        <w:rPr>
          <w:rFonts w:hint="eastAsia" w:ascii="宋体" w:hAnsi="宋体"/>
          <w:bCs/>
          <w:szCs w:val="32"/>
          <w:highlight w:val="none"/>
          <w:lang w:val="en-US" w:eastAsia="zh-CN"/>
        </w:rPr>
        <w:t>供应商资格声明承诺函</w:t>
      </w:r>
      <w:r>
        <w:tab/>
      </w:r>
      <w:r>
        <w:fldChar w:fldCharType="begin"/>
      </w:r>
      <w:r>
        <w:instrText xml:space="preserve"> PAGEREF _Toc26743 \h </w:instrText>
      </w:r>
      <w:r>
        <w:fldChar w:fldCharType="separate"/>
      </w:r>
      <w:r>
        <w:t>30</w:t>
      </w:r>
      <w:r>
        <w:fldChar w:fldCharType="end"/>
      </w:r>
      <w:r>
        <w:rPr>
          <w:rFonts w:hint="eastAsia" w:ascii="宋体" w:hAnsi="宋体" w:eastAsia="宋体" w:cs="宋体"/>
          <w:color w:val="auto"/>
          <w:szCs w:val="28"/>
          <w:highlight w:val="none"/>
        </w:rPr>
        <w:fldChar w:fldCharType="end"/>
      </w:r>
    </w:p>
    <w:p w14:paraId="5850AC9C">
      <w:pPr>
        <w:pStyle w:val="15"/>
        <w:tabs>
          <w:tab w:val="right" w:leader="dot" w:pos="9643"/>
        </w:tabs>
      </w:pPr>
      <w:r>
        <w:rPr>
          <w:rFonts w:hint="eastAsia" w:ascii="宋体" w:hAnsi="宋体" w:eastAsia="宋体" w:cs="宋体"/>
          <w:color w:val="auto"/>
          <w:szCs w:val="28"/>
          <w:highlight w:val="none"/>
        </w:rPr>
        <w:fldChar w:fldCharType="begin"/>
      </w:r>
      <w:r>
        <w:rPr>
          <w:rFonts w:hint="eastAsia" w:ascii="宋体" w:hAnsi="宋体" w:eastAsia="宋体" w:cs="宋体"/>
          <w:szCs w:val="28"/>
          <w:highlight w:val="none"/>
        </w:rPr>
        <w:instrText xml:space="preserve"> HYPERLINK \l _Toc13195 </w:instrText>
      </w:r>
      <w:r>
        <w:rPr>
          <w:rFonts w:hint="eastAsia" w:ascii="宋体" w:hAnsi="宋体" w:eastAsia="宋体" w:cs="宋体"/>
          <w:szCs w:val="28"/>
          <w:highlight w:val="none"/>
        </w:rPr>
        <w:fldChar w:fldCharType="separate"/>
      </w:r>
      <w:r>
        <w:rPr>
          <w:rFonts w:hint="eastAsia"/>
          <w:highlight w:val="none"/>
        </w:rPr>
        <w:t>类似项目业绩表</w:t>
      </w:r>
      <w:r>
        <w:tab/>
      </w:r>
      <w:r>
        <w:fldChar w:fldCharType="begin"/>
      </w:r>
      <w:r>
        <w:instrText xml:space="preserve"> PAGEREF _Toc13195 \h </w:instrText>
      </w:r>
      <w:r>
        <w:fldChar w:fldCharType="separate"/>
      </w:r>
      <w:r>
        <w:t>31</w:t>
      </w:r>
      <w:r>
        <w:fldChar w:fldCharType="end"/>
      </w:r>
      <w:r>
        <w:rPr>
          <w:rFonts w:hint="eastAsia" w:ascii="宋体" w:hAnsi="宋体" w:eastAsia="宋体" w:cs="宋体"/>
          <w:color w:val="auto"/>
          <w:szCs w:val="28"/>
          <w:highlight w:val="none"/>
        </w:rPr>
        <w:fldChar w:fldCharType="end"/>
      </w:r>
    </w:p>
    <w:p w14:paraId="072FA18D">
      <w:pPr>
        <w:pStyle w:val="15"/>
        <w:tabs>
          <w:tab w:val="right" w:leader="dot" w:pos="9643"/>
        </w:tabs>
      </w:pPr>
      <w:r>
        <w:rPr>
          <w:rFonts w:hint="eastAsia" w:ascii="宋体" w:hAnsi="宋体" w:eastAsia="宋体" w:cs="宋体"/>
          <w:color w:val="auto"/>
          <w:szCs w:val="28"/>
          <w:highlight w:val="none"/>
        </w:rPr>
        <w:fldChar w:fldCharType="begin"/>
      </w:r>
      <w:r>
        <w:rPr>
          <w:rFonts w:hint="eastAsia" w:ascii="宋体" w:hAnsi="宋体" w:eastAsia="宋体" w:cs="宋体"/>
          <w:szCs w:val="28"/>
          <w:highlight w:val="none"/>
        </w:rPr>
        <w:instrText xml:space="preserve"> HYPERLINK \l _Toc17335 </w:instrText>
      </w:r>
      <w:r>
        <w:rPr>
          <w:rFonts w:hint="eastAsia" w:ascii="宋体" w:hAnsi="宋体" w:eastAsia="宋体" w:cs="宋体"/>
          <w:szCs w:val="28"/>
          <w:highlight w:val="none"/>
        </w:rPr>
        <w:fldChar w:fldCharType="separate"/>
      </w:r>
      <w:r>
        <w:rPr>
          <w:rFonts w:hint="eastAsia" w:ascii="宋体" w:hAnsi="宋体" w:eastAsia="宋体"/>
          <w:szCs w:val="36"/>
          <w:highlight w:val="none"/>
        </w:rPr>
        <w:t>中小企业声明函</w:t>
      </w:r>
      <w:r>
        <w:tab/>
      </w:r>
      <w:r>
        <w:fldChar w:fldCharType="begin"/>
      </w:r>
      <w:r>
        <w:instrText xml:space="preserve"> PAGEREF _Toc17335 \h </w:instrText>
      </w:r>
      <w:r>
        <w:fldChar w:fldCharType="separate"/>
      </w:r>
      <w:r>
        <w:t>32</w:t>
      </w:r>
      <w:r>
        <w:fldChar w:fldCharType="end"/>
      </w:r>
      <w:r>
        <w:rPr>
          <w:rFonts w:hint="eastAsia" w:ascii="宋体" w:hAnsi="宋体" w:eastAsia="宋体" w:cs="宋体"/>
          <w:color w:val="auto"/>
          <w:szCs w:val="28"/>
          <w:highlight w:val="none"/>
        </w:rPr>
        <w:fldChar w:fldCharType="end"/>
      </w:r>
    </w:p>
    <w:p w14:paraId="3E0D83E3">
      <w:pPr>
        <w:pStyle w:val="15"/>
        <w:tabs>
          <w:tab w:val="right" w:leader="dot" w:pos="9643"/>
        </w:tabs>
      </w:pPr>
      <w:r>
        <w:rPr>
          <w:rFonts w:hint="eastAsia" w:ascii="宋体" w:hAnsi="宋体" w:eastAsia="宋体" w:cs="宋体"/>
          <w:color w:val="auto"/>
          <w:szCs w:val="28"/>
          <w:highlight w:val="none"/>
        </w:rPr>
        <w:fldChar w:fldCharType="begin"/>
      </w:r>
      <w:r>
        <w:rPr>
          <w:rFonts w:hint="eastAsia" w:ascii="宋体" w:hAnsi="宋体" w:eastAsia="宋体" w:cs="宋体"/>
          <w:szCs w:val="28"/>
          <w:highlight w:val="none"/>
        </w:rPr>
        <w:instrText xml:space="preserve"> HYPERLINK \l _Toc4264 </w:instrText>
      </w:r>
      <w:r>
        <w:rPr>
          <w:rFonts w:hint="eastAsia" w:ascii="宋体" w:hAnsi="宋体" w:eastAsia="宋体" w:cs="宋体"/>
          <w:szCs w:val="28"/>
          <w:highlight w:val="none"/>
        </w:rPr>
        <w:fldChar w:fldCharType="separate"/>
      </w:r>
      <w:r>
        <w:rPr>
          <w:rFonts w:hint="eastAsia"/>
          <w:highlight w:val="none"/>
        </w:rPr>
        <w:t>中小企业划型标准</w:t>
      </w:r>
      <w:r>
        <w:tab/>
      </w:r>
      <w:r>
        <w:fldChar w:fldCharType="begin"/>
      </w:r>
      <w:r>
        <w:instrText xml:space="preserve"> PAGEREF _Toc4264 \h </w:instrText>
      </w:r>
      <w:r>
        <w:fldChar w:fldCharType="separate"/>
      </w:r>
      <w:r>
        <w:t>33</w:t>
      </w:r>
      <w:r>
        <w:fldChar w:fldCharType="end"/>
      </w:r>
      <w:r>
        <w:rPr>
          <w:rFonts w:hint="eastAsia" w:ascii="宋体" w:hAnsi="宋体" w:eastAsia="宋体" w:cs="宋体"/>
          <w:color w:val="auto"/>
          <w:szCs w:val="28"/>
          <w:highlight w:val="none"/>
        </w:rPr>
        <w:fldChar w:fldCharType="end"/>
      </w:r>
    </w:p>
    <w:p w14:paraId="41B06EF8">
      <w:pPr>
        <w:pStyle w:val="2"/>
        <w:keepNext w:val="0"/>
        <w:keepLines w:val="0"/>
        <w:pageBreakBefore w:val="0"/>
        <w:kinsoku/>
        <w:wordWrap/>
        <w:overflowPunct/>
        <w:topLinePunct w:val="0"/>
        <w:autoSpaceDE/>
        <w:autoSpaceDN/>
        <w:bidi w:val="0"/>
        <w:adjustRightInd/>
        <w:snapToGrid/>
        <w:spacing w:line="380" w:lineRule="exact"/>
        <w:textAlignment w:val="auto"/>
        <w:outlineLvl w:val="9"/>
        <w:rPr>
          <w:rFonts w:hint="eastAsia" w:ascii="宋体" w:hAnsi="宋体" w:eastAsia="宋体" w:cs="宋体"/>
          <w:color w:val="auto"/>
          <w:sz w:val="24"/>
          <w:szCs w:val="24"/>
          <w:highlight w:val="none"/>
        </w:rPr>
        <w:sectPr>
          <w:headerReference r:id="rId5" w:type="first"/>
          <w:footerReference r:id="rId8" w:type="first"/>
          <w:headerReference r:id="rId3" w:type="default"/>
          <w:footerReference r:id="rId6" w:type="default"/>
          <w:headerReference r:id="rId4" w:type="even"/>
          <w:footerReference r:id="rId7" w:type="even"/>
          <w:pgSz w:w="11911" w:h="16838"/>
          <w:pgMar w:top="1134" w:right="1134" w:bottom="1134" w:left="1134" w:header="283" w:footer="567" w:gutter="0"/>
          <w:pgNumType w:start="1"/>
          <w:cols w:space="720" w:num="1"/>
          <w:titlePg/>
          <w:docGrid w:linePitch="360" w:charSpace="0"/>
        </w:sectPr>
      </w:pPr>
      <w:r>
        <w:rPr>
          <w:rFonts w:hint="eastAsia" w:ascii="宋体" w:hAnsi="宋体" w:eastAsia="宋体" w:cs="宋体"/>
          <w:color w:val="auto"/>
          <w:szCs w:val="28"/>
          <w:highlight w:val="none"/>
        </w:rPr>
        <w:fldChar w:fldCharType="end"/>
      </w:r>
    </w:p>
    <w:tbl>
      <w:tblPr>
        <w:tblStyle w:val="16"/>
        <w:tblpPr w:leftFromText="180" w:rightFromText="180" w:vertAnchor="text" w:horzAnchor="page" w:tblpX="1260" w:tblpY="632"/>
        <w:tblOverlap w:val="never"/>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44"/>
        <w:gridCol w:w="8915"/>
      </w:tblGrid>
      <w:tr w14:paraId="2E61614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4" w:hRule="atLeast"/>
        </w:trPr>
        <w:tc>
          <w:tcPr>
            <w:tcW w:w="744" w:type="dxa"/>
            <w:tcBorders>
              <w:top w:val="single" w:color="auto" w:sz="4" w:space="0"/>
              <w:left w:val="single" w:color="auto" w:sz="4" w:space="0"/>
              <w:bottom w:val="single" w:color="auto" w:sz="4" w:space="0"/>
              <w:right w:val="single" w:color="auto" w:sz="4" w:space="0"/>
            </w:tcBorders>
            <w:noWrap w:val="0"/>
            <w:vAlign w:val="center"/>
          </w:tcPr>
          <w:p w14:paraId="5B36F766">
            <w:pPr>
              <w:keepNext w:val="0"/>
              <w:keepLines w:val="0"/>
              <w:pageBreakBefore w:val="0"/>
              <w:widowControl w:val="0"/>
              <w:kinsoku/>
              <w:wordWrap/>
              <w:overflowPunct/>
              <w:topLinePunct w:val="0"/>
              <w:autoSpaceDE/>
              <w:autoSpaceDN/>
              <w:bidi w:val="0"/>
              <w:adjustRightInd/>
              <w:snapToGrid/>
              <w:spacing w:line="320" w:lineRule="exact"/>
              <w:ind w:left="0" w:leftChars="0" w:right="0"/>
              <w:jc w:val="center"/>
              <w:textAlignment w:val="auto"/>
              <w:rPr>
                <w:rFonts w:hint="eastAsia" w:ascii="宋体" w:hAnsi="宋体" w:cs="宋体"/>
                <w:bCs/>
                <w:color w:val="auto"/>
                <w:sz w:val="24"/>
                <w:highlight w:val="none"/>
              </w:rPr>
            </w:pPr>
            <w:r>
              <w:rPr>
                <w:rFonts w:hint="eastAsia" w:ascii="宋体" w:hAnsi="宋体" w:cs="宋体"/>
                <w:bCs/>
                <w:color w:val="auto"/>
                <w:sz w:val="24"/>
                <w:highlight w:val="none"/>
              </w:rPr>
              <w:t>项号</w:t>
            </w:r>
          </w:p>
        </w:tc>
        <w:tc>
          <w:tcPr>
            <w:tcW w:w="8915" w:type="dxa"/>
            <w:tcBorders>
              <w:top w:val="single" w:color="auto" w:sz="4" w:space="0"/>
              <w:left w:val="single" w:color="auto" w:sz="4" w:space="0"/>
              <w:bottom w:val="single" w:color="auto" w:sz="4" w:space="0"/>
              <w:right w:val="single" w:color="auto" w:sz="4" w:space="0"/>
            </w:tcBorders>
            <w:noWrap w:val="0"/>
            <w:vAlign w:val="center"/>
          </w:tcPr>
          <w:p w14:paraId="5F21E637">
            <w:pPr>
              <w:keepNext w:val="0"/>
              <w:keepLines w:val="0"/>
              <w:pageBreakBefore w:val="0"/>
              <w:widowControl w:val="0"/>
              <w:kinsoku/>
              <w:wordWrap/>
              <w:overflowPunct/>
              <w:topLinePunct w:val="0"/>
              <w:autoSpaceDE/>
              <w:autoSpaceDN/>
              <w:bidi w:val="0"/>
              <w:adjustRightInd/>
              <w:snapToGrid/>
              <w:spacing w:line="320" w:lineRule="exact"/>
              <w:ind w:left="0" w:leftChars="0" w:right="0"/>
              <w:jc w:val="center"/>
              <w:textAlignment w:val="auto"/>
              <w:rPr>
                <w:rFonts w:hint="eastAsia" w:ascii="宋体" w:hAnsi="宋体" w:cs="宋体"/>
                <w:bCs/>
                <w:color w:val="auto"/>
                <w:sz w:val="24"/>
                <w:highlight w:val="none"/>
              </w:rPr>
            </w:pPr>
            <w:r>
              <w:rPr>
                <w:rFonts w:hint="eastAsia" w:ascii="宋体" w:hAnsi="宋体" w:cs="宋体"/>
                <w:bCs/>
                <w:color w:val="auto"/>
                <w:sz w:val="24"/>
                <w:highlight w:val="none"/>
              </w:rPr>
              <w:t>内  容  规  定</w:t>
            </w:r>
          </w:p>
        </w:tc>
      </w:tr>
      <w:tr w14:paraId="567443D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783" w:hRule="atLeast"/>
        </w:trPr>
        <w:tc>
          <w:tcPr>
            <w:tcW w:w="744" w:type="dxa"/>
            <w:tcBorders>
              <w:top w:val="single" w:color="auto" w:sz="4" w:space="0"/>
              <w:left w:val="single" w:color="auto" w:sz="4" w:space="0"/>
              <w:bottom w:val="single" w:color="auto" w:sz="4" w:space="0"/>
              <w:right w:val="single" w:color="auto" w:sz="4" w:space="0"/>
            </w:tcBorders>
            <w:noWrap w:val="0"/>
            <w:vAlign w:val="center"/>
          </w:tcPr>
          <w:p w14:paraId="77DA833B">
            <w:pPr>
              <w:keepNext w:val="0"/>
              <w:keepLines w:val="0"/>
              <w:pageBreakBefore w:val="0"/>
              <w:widowControl w:val="0"/>
              <w:kinsoku/>
              <w:wordWrap/>
              <w:overflowPunct/>
              <w:topLinePunct w:val="0"/>
              <w:autoSpaceDE/>
              <w:autoSpaceDN/>
              <w:bidi w:val="0"/>
              <w:adjustRightInd/>
              <w:snapToGrid/>
              <w:spacing w:line="320" w:lineRule="exact"/>
              <w:ind w:left="0" w:leftChars="0" w:right="0"/>
              <w:jc w:val="center"/>
              <w:textAlignment w:val="auto"/>
              <w:rPr>
                <w:rFonts w:hint="eastAsia" w:ascii="宋体" w:hAnsi="宋体" w:cs="宋体"/>
                <w:bCs/>
                <w:color w:val="auto"/>
                <w:sz w:val="24"/>
                <w:highlight w:val="none"/>
              </w:rPr>
            </w:pPr>
            <w:r>
              <w:rPr>
                <w:rFonts w:hint="eastAsia" w:ascii="宋体" w:hAnsi="宋体" w:cs="宋体"/>
                <w:bCs/>
                <w:color w:val="auto"/>
                <w:sz w:val="24"/>
                <w:highlight w:val="none"/>
              </w:rPr>
              <w:t>1</w:t>
            </w:r>
          </w:p>
        </w:tc>
        <w:tc>
          <w:tcPr>
            <w:tcW w:w="8915" w:type="dxa"/>
            <w:tcBorders>
              <w:top w:val="single" w:color="auto" w:sz="4" w:space="0"/>
              <w:left w:val="single" w:color="auto" w:sz="4" w:space="0"/>
              <w:bottom w:val="single" w:color="auto" w:sz="4" w:space="0"/>
              <w:right w:val="single" w:color="auto" w:sz="4" w:space="0"/>
            </w:tcBorders>
            <w:noWrap w:val="0"/>
            <w:vAlign w:val="center"/>
          </w:tcPr>
          <w:p w14:paraId="76AE0635">
            <w:pPr>
              <w:keepNext w:val="0"/>
              <w:keepLines w:val="0"/>
              <w:pageBreakBefore w:val="0"/>
              <w:widowControl w:val="0"/>
              <w:kinsoku/>
              <w:wordWrap/>
              <w:overflowPunct/>
              <w:topLinePunct w:val="0"/>
              <w:autoSpaceDE/>
              <w:autoSpaceDN/>
              <w:bidi w:val="0"/>
              <w:adjustRightInd/>
              <w:snapToGrid/>
              <w:spacing w:line="320" w:lineRule="exact"/>
              <w:ind w:left="0" w:leftChars="0" w:right="0"/>
              <w:textAlignment w:val="auto"/>
              <w:rPr>
                <w:rFonts w:hint="eastAsia" w:ascii="宋体" w:hAnsi="宋体" w:cs="宋体"/>
                <w:bCs/>
                <w:color w:val="auto"/>
                <w:sz w:val="24"/>
                <w:highlight w:val="none"/>
              </w:rPr>
            </w:pPr>
            <w:r>
              <w:rPr>
                <w:rFonts w:hint="eastAsia" w:ascii="宋体" w:hAnsi="宋体" w:cs="宋体"/>
                <w:bCs/>
                <w:color w:val="auto"/>
                <w:sz w:val="24"/>
                <w:highlight w:val="none"/>
              </w:rPr>
              <w:t>项目综合说明</w:t>
            </w:r>
          </w:p>
          <w:p w14:paraId="64C76087">
            <w:pPr>
              <w:keepNext w:val="0"/>
              <w:keepLines w:val="0"/>
              <w:pageBreakBefore w:val="0"/>
              <w:widowControl w:val="0"/>
              <w:kinsoku/>
              <w:wordWrap/>
              <w:overflowPunct/>
              <w:topLinePunct w:val="0"/>
              <w:autoSpaceDE/>
              <w:autoSpaceDN/>
              <w:bidi w:val="0"/>
              <w:adjustRightInd/>
              <w:snapToGrid/>
              <w:spacing w:line="320" w:lineRule="exact"/>
              <w:ind w:left="0" w:leftChars="0" w:right="0"/>
              <w:textAlignment w:val="auto"/>
              <w:rPr>
                <w:rFonts w:hint="eastAsia" w:ascii="宋体" w:hAnsi="宋体" w:cs="宋体"/>
                <w:bCs/>
                <w:color w:val="auto"/>
                <w:sz w:val="24"/>
                <w:highlight w:val="none"/>
                <w:lang w:eastAsia="zh-CN"/>
              </w:rPr>
            </w:pPr>
            <w:r>
              <w:rPr>
                <w:rFonts w:hint="eastAsia" w:ascii="宋体" w:hAnsi="宋体" w:cs="宋体"/>
                <w:bCs/>
                <w:color w:val="auto"/>
                <w:sz w:val="24"/>
                <w:highlight w:val="none"/>
              </w:rPr>
              <w:t>项目名称：</w:t>
            </w:r>
            <w:r>
              <w:rPr>
                <w:rFonts w:hint="eastAsia" w:ascii="宋体" w:hAnsi="宋体" w:cs="宋体"/>
                <w:bCs/>
                <w:color w:val="auto"/>
                <w:sz w:val="24"/>
                <w:highlight w:val="none"/>
                <w:lang w:eastAsia="zh-CN"/>
              </w:rPr>
              <w:t>安福寺镇生活垃圾转运、无害化处理服务采购项目</w:t>
            </w:r>
          </w:p>
          <w:p w14:paraId="3B8E3B2A">
            <w:pPr>
              <w:keepNext w:val="0"/>
              <w:keepLines w:val="0"/>
              <w:pageBreakBefore w:val="0"/>
              <w:widowControl w:val="0"/>
              <w:kinsoku/>
              <w:wordWrap/>
              <w:overflowPunct/>
              <w:topLinePunct w:val="0"/>
              <w:autoSpaceDE/>
              <w:autoSpaceDN/>
              <w:bidi w:val="0"/>
              <w:adjustRightInd/>
              <w:snapToGrid/>
              <w:spacing w:line="320" w:lineRule="exact"/>
              <w:ind w:left="0" w:leftChars="0" w:right="0"/>
              <w:textAlignment w:val="auto"/>
              <w:rPr>
                <w:rFonts w:hint="default" w:ascii="宋体" w:hAnsi="宋体" w:eastAsia="宋体" w:cs="宋体"/>
                <w:i w:val="0"/>
                <w:caps w:val="0"/>
                <w:color w:val="auto"/>
                <w:spacing w:val="0"/>
                <w:kern w:val="2"/>
                <w:sz w:val="24"/>
                <w:szCs w:val="24"/>
                <w:highlight w:val="none"/>
                <w:shd w:val="clear" w:color="auto" w:fill="FFFFFF"/>
                <w:lang w:val="en-US" w:eastAsia="zh-CN" w:bidi="ar-SA"/>
              </w:rPr>
            </w:pPr>
            <w:r>
              <w:rPr>
                <w:rFonts w:hint="eastAsia" w:ascii="宋体" w:hAnsi="宋体" w:cs="宋体"/>
                <w:bCs/>
                <w:color w:val="auto"/>
                <w:sz w:val="24"/>
                <w:highlight w:val="none"/>
                <w:lang w:eastAsia="zh-CN"/>
              </w:rPr>
              <w:t>项目概况</w:t>
            </w:r>
            <w:r>
              <w:rPr>
                <w:rFonts w:hint="eastAsia" w:ascii="宋体" w:hAnsi="宋体" w:cs="宋体"/>
                <w:bCs/>
                <w:color w:val="auto"/>
                <w:sz w:val="24"/>
                <w:highlight w:val="none"/>
              </w:rPr>
              <w:t>：</w:t>
            </w:r>
            <w:r>
              <w:rPr>
                <w:rFonts w:hint="eastAsia" w:ascii="宋体" w:hAnsi="宋体" w:cs="宋体"/>
                <w:bCs/>
                <w:color w:val="auto"/>
                <w:sz w:val="24"/>
                <w:highlight w:val="none"/>
                <w:lang w:val="en-US" w:eastAsia="zh-CN"/>
              </w:rPr>
              <w:t>安福寺镇生活垃圾需运往石宝山垃圾填埋场进行无害化处理。为确保镇域生活垃圾及时清运、处置，保障市容环境整洁，拟采购有资质的运输企业提供服务。</w:t>
            </w:r>
            <w:r>
              <w:rPr>
                <w:rFonts w:hint="eastAsia" w:ascii="宋体" w:hAnsi="宋体" w:eastAsia="宋体" w:cs="宋体"/>
                <w:i w:val="0"/>
                <w:iCs w:val="0"/>
                <w:caps w:val="0"/>
                <w:color w:val="auto"/>
                <w:spacing w:val="0"/>
                <w:sz w:val="24"/>
                <w:szCs w:val="24"/>
                <w:highlight w:val="none"/>
                <w:shd w:val="clear" w:color="auto" w:fill="FFFFFF"/>
                <w:lang w:val="en-US" w:eastAsia="zh-CN"/>
              </w:rPr>
              <w:t>（详见第三章采购需求）</w:t>
            </w:r>
          </w:p>
          <w:p w14:paraId="4C0CAD0A">
            <w:pPr>
              <w:keepNext w:val="0"/>
              <w:keepLines w:val="0"/>
              <w:pageBreakBefore w:val="0"/>
              <w:widowControl w:val="0"/>
              <w:kinsoku/>
              <w:wordWrap/>
              <w:overflowPunct/>
              <w:topLinePunct w:val="0"/>
              <w:autoSpaceDE/>
              <w:autoSpaceDN/>
              <w:bidi w:val="0"/>
              <w:adjustRightInd/>
              <w:snapToGrid/>
              <w:spacing w:line="320" w:lineRule="exact"/>
              <w:ind w:left="0" w:leftChars="0" w:right="0"/>
              <w:textAlignment w:val="auto"/>
              <w:rPr>
                <w:rFonts w:hint="eastAsia" w:ascii="宋体" w:hAnsi="宋体" w:cs="宋体"/>
                <w:bCs/>
                <w:color w:val="auto"/>
                <w:sz w:val="24"/>
                <w:highlight w:val="none"/>
              </w:rPr>
            </w:pPr>
            <w:r>
              <w:rPr>
                <w:rFonts w:hint="eastAsia" w:ascii="宋体" w:hAnsi="宋体" w:cs="宋体"/>
                <w:bCs/>
                <w:color w:val="auto"/>
                <w:sz w:val="24"/>
                <w:highlight w:val="none"/>
                <w:lang w:eastAsia="zh-CN"/>
              </w:rPr>
              <w:t>合同履行期限</w:t>
            </w:r>
            <w:r>
              <w:rPr>
                <w:rFonts w:hint="eastAsia" w:ascii="宋体" w:hAnsi="宋体" w:cs="宋体"/>
                <w:bCs/>
                <w:color w:val="auto"/>
                <w:sz w:val="24"/>
                <w:highlight w:val="none"/>
              </w:rPr>
              <w:t>：</w:t>
            </w:r>
            <w:r>
              <w:rPr>
                <w:rFonts w:hint="eastAsia" w:ascii="宋体" w:hAnsi="宋体" w:cs="宋体"/>
                <w:bCs/>
                <w:color w:val="auto"/>
                <w:sz w:val="24"/>
                <w:highlight w:val="none"/>
                <w:lang w:val="en-US" w:eastAsia="zh-CN"/>
              </w:rPr>
              <w:t>合同签订之日起一年。（合同期满后经采购人综合评价，满意度高、服务验收优秀可续签下一年度服务合同，最多续签两次，累计服务期限最长不超过三年。）</w:t>
            </w:r>
          </w:p>
          <w:p w14:paraId="44EEFCD7">
            <w:pPr>
              <w:keepNext w:val="0"/>
              <w:keepLines w:val="0"/>
              <w:pageBreakBefore w:val="0"/>
              <w:widowControl w:val="0"/>
              <w:kinsoku/>
              <w:wordWrap/>
              <w:overflowPunct/>
              <w:topLinePunct w:val="0"/>
              <w:autoSpaceDE/>
              <w:autoSpaceDN/>
              <w:bidi w:val="0"/>
              <w:adjustRightInd/>
              <w:snapToGrid/>
              <w:spacing w:line="320" w:lineRule="exact"/>
              <w:ind w:left="0" w:leftChars="0" w:right="0"/>
              <w:textAlignment w:val="auto"/>
              <w:rPr>
                <w:rFonts w:hint="eastAsia" w:ascii="宋体" w:hAnsi="宋体" w:cs="宋体"/>
                <w:bCs/>
                <w:color w:val="auto"/>
                <w:sz w:val="24"/>
                <w:highlight w:val="none"/>
              </w:rPr>
            </w:pPr>
            <w:r>
              <w:rPr>
                <w:rFonts w:hint="eastAsia" w:ascii="宋体" w:hAnsi="宋体" w:cs="宋体"/>
                <w:bCs/>
                <w:color w:val="auto"/>
                <w:sz w:val="24"/>
                <w:highlight w:val="none"/>
              </w:rPr>
              <w:t>采购方式：竞争性磋商。</w:t>
            </w:r>
          </w:p>
          <w:p w14:paraId="6777E430">
            <w:pPr>
              <w:keepNext w:val="0"/>
              <w:keepLines w:val="0"/>
              <w:pageBreakBefore w:val="0"/>
              <w:widowControl w:val="0"/>
              <w:kinsoku/>
              <w:wordWrap/>
              <w:overflowPunct/>
              <w:topLinePunct w:val="0"/>
              <w:autoSpaceDE/>
              <w:autoSpaceDN/>
              <w:bidi w:val="0"/>
              <w:adjustRightInd/>
              <w:snapToGrid/>
              <w:spacing w:line="320" w:lineRule="exact"/>
              <w:ind w:left="0" w:leftChars="0" w:right="0"/>
              <w:textAlignment w:val="auto"/>
              <w:rPr>
                <w:rFonts w:hint="eastAsia" w:ascii="宋体" w:hAnsi="宋体" w:cs="宋体"/>
                <w:bCs/>
                <w:color w:val="auto"/>
                <w:sz w:val="24"/>
                <w:highlight w:val="none"/>
              </w:rPr>
            </w:pPr>
            <w:r>
              <w:rPr>
                <w:rFonts w:hint="eastAsia" w:ascii="宋体" w:hAnsi="宋体" w:cs="宋体"/>
                <w:bCs/>
                <w:color w:val="auto"/>
                <w:sz w:val="24"/>
                <w:highlight w:val="none"/>
              </w:rPr>
              <w:t>备选磋商方案：本项目不接受备选磋商方案。</w:t>
            </w:r>
          </w:p>
          <w:p w14:paraId="6F029B60">
            <w:pPr>
              <w:keepNext w:val="0"/>
              <w:keepLines w:val="0"/>
              <w:pageBreakBefore w:val="0"/>
              <w:widowControl w:val="0"/>
              <w:kinsoku/>
              <w:wordWrap/>
              <w:overflowPunct/>
              <w:topLinePunct w:val="0"/>
              <w:autoSpaceDE/>
              <w:autoSpaceDN/>
              <w:bidi w:val="0"/>
              <w:adjustRightInd/>
              <w:snapToGrid/>
              <w:spacing w:line="320" w:lineRule="exact"/>
              <w:ind w:left="0" w:leftChars="0" w:right="0"/>
              <w:textAlignment w:val="auto"/>
              <w:rPr>
                <w:rFonts w:hint="eastAsia" w:ascii="宋体" w:hAnsi="宋体" w:cs="宋体"/>
                <w:bCs/>
                <w:color w:val="auto"/>
                <w:sz w:val="24"/>
                <w:highlight w:val="none"/>
              </w:rPr>
            </w:pPr>
            <w:r>
              <w:rPr>
                <w:rFonts w:hint="eastAsia" w:ascii="宋体" w:hAnsi="宋体" w:cs="宋体"/>
                <w:bCs/>
                <w:color w:val="auto"/>
                <w:sz w:val="24"/>
                <w:highlight w:val="none"/>
              </w:rPr>
              <w:t>联合体磋商：本项目不接受联合磋商。</w:t>
            </w:r>
          </w:p>
        </w:tc>
      </w:tr>
      <w:tr w14:paraId="3B18903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88" w:hRule="exact"/>
        </w:trPr>
        <w:tc>
          <w:tcPr>
            <w:tcW w:w="744" w:type="dxa"/>
            <w:tcBorders>
              <w:top w:val="single" w:color="auto" w:sz="4" w:space="0"/>
              <w:left w:val="single" w:color="auto" w:sz="4" w:space="0"/>
              <w:bottom w:val="single" w:color="auto" w:sz="4" w:space="0"/>
              <w:right w:val="single" w:color="auto" w:sz="4" w:space="0"/>
            </w:tcBorders>
            <w:noWrap w:val="0"/>
            <w:vAlign w:val="center"/>
          </w:tcPr>
          <w:p w14:paraId="19863044">
            <w:pPr>
              <w:keepNext w:val="0"/>
              <w:keepLines w:val="0"/>
              <w:pageBreakBefore w:val="0"/>
              <w:widowControl w:val="0"/>
              <w:kinsoku/>
              <w:wordWrap/>
              <w:overflowPunct/>
              <w:topLinePunct w:val="0"/>
              <w:autoSpaceDE/>
              <w:autoSpaceDN/>
              <w:bidi w:val="0"/>
              <w:adjustRightInd/>
              <w:snapToGrid/>
              <w:spacing w:line="320" w:lineRule="exact"/>
              <w:ind w:left="0" w:leftChars="0" w:right="0"/>
              <w:jc w:val="center"/>
              <w:textAlignment w:val="auto"/>
              <w:rPr>
                <w:rFonts w:hint="eastAsia" w:ascii="宋体" w:hAnsi="宋体" w:cs="宋体"/>
                <w:bCs/>
                <w:color w:val="auto"/>
                <w:sz w:val="24"/>
                <w:highlight w:val="none"/>
              </w:rPr>
            </w:pPr>
            <w:r>
              <w:rPr>
                <w:rFonts w:hint="eastAsia" w:ascii="宋体" w:hAnsi="宋体" w:cs="宋体"/>
                <w:bCs/>
                <w:color w:val="auto"/>
                <w:sz w:val="24"/>
                <w:highlight w:val="none"/>
              </w:rPr>
              <w:t>2</w:t>
            </w:r>
          </w:p>
        </w:tc>
        <w:tc>
          <w:tcPr>
            <w:tcW w:w="8915" w:type="dxa"/>
            <w:tcBorders>
              <w:top w:val="single" w:color="auto" w:sz="4" w:space="0"/>
              <w:left w:val="single" w:color="auto" w:sz="4" w:space="0"/>
              <w:bottom w:val="single" w:color="auto" w:sz="4" w:space="0"/>
              <w:right w:val="single" w:color="auto" w:sz="4" w:space="0"/>
            </w:tcBorders>
            <w:noWrap w:val="0"/>
            <w:vAlign w:val="center"/>
          </w:tcPr>
          <w:p w14:paraId="077E2C89">
            <w:pPr>
              <w:keepNext w:val="0"/>
              <w:keepLines w:val="0"/>
              <w:pageBreakBefore w:val="0"/>
              <w:widowControl w:val="0"/>
              <w:kinsoku/>
              <w:wordWrap/>
              <w:overflowPunct/>
              <w:topLinePunct w:val="0"/>
              <w:autoSpaceDE/>
              <w:autoSpaceDN/>
              <w:bidi w:val="0"/>
              <w:adjustRightInd/>
              <w:snapToGrid/>
              <w:spacing w:line="320" w:lineRule="exact"/>
              <w:ind w:left="0" w:leftChars="0" w:right="0"/>
              <w:textAlignment w:val="auto"/>
              <w:rPr>
                <w:rFonts w:hint="eastAsia" w:ascii="宋体" w:hAnsi="宋体" w:eastAsia="宋体" w:cs="宋体"/>
                <w:bCs/>
                <w:color w:val="auto"/>
                <w:sz w:val="24"/>
                <w:highlight w:val="none"/>
                <w:lang w:eastAsia="zh-CN"/>
              </w:rPr>
            </w:pPr>
            <w:r>
              <w:rPr>
                <w:rFonts w:hint="eastAsia" w:ascii="宋体" w:hAnsi="宋体" w:cs="宋体"/>
                <w:bCs/>
                <w:color w:val="auto"/>
                <w:sz w:val="24"/>
                <w:highlight w:val="none"/>
              </w:rPr>
              <w:t>资金来源：</w:t>
            </w:r>
            <w:r>
              <w:rPr>
                <w:rFonts w:hint="eastAsia" w:ascii="宋体" w:hAnsi="宋体" w:cs="宋体"/>
                <w:bCs/>
                <w:color w:val="auto"/>
                <w:sz w:val="24"/>
                <w:highlight w:val="none"/>
                <w:lang w:eastAsia="zh-CN"/>
              </w:rPr>
              <w:t>镇级资金。</w:t>
            </w:r>
          </w:p>
        </w:tc>
      </w:tr>
      <w:tr w14:paraId="6C415EC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82" w:hRule="exact"/>
        </w:trPr>
        <w:tc>
          <w:tcPr>
            <w:tcW w:w="744" w:type="dxa"/>
            <w:tcBorders>
              <w:top w:val="single" w:color="auto" w:sz="4" w:space="0"/>
              <w:left w:val="single" w:color="auto" w:sz="4" w:space="0"/>
              <w:bottom w:val="single" w:color="auto" w:sz="4" w:space="0"/>
              <w:right w:val="single" w:color="auto" w:sz="4" w:space="0"/>
            </w:tcBorders>
            <w:noWrap w:val="0"/>
            <w:vAlign w:val="center"/>
          </w:tcPr>
          <w:p w14:paraId="6D4D44DF">
            <w:pPr>
              <w:keepNext w:val="0"/>
              <w:keepLines w:val="0"/>
              <w:pageBreakBefore w:val="0"/>
              <w:widowControl w:val="0"/>
              <w:kinsoku/>
              <w:wordWrap/>
              <w:overflowPunct/>
              <w:topLinePunct w:val="0"/>
              <w:autoSpaceDE/>
              <w:autoSpaceDN/>
              <w:bidi w:val="0"/>
              <w:adjustRightInd/>
              <w:snapToGrid/>
              <w:spacing w:line="320" w:lineRule="exact"/>
              <w:ind w:left="0" w:leftChars="0" w:right="0"/>
              <w:jc w:val="center"/>
              <w:textAlignment w:val="auto"/>
              <w:rPr>
                <w:rFonts w:hint="eastAsia" w:ascii="宋体" w:hAnsi="宋体" w:cs="宋体"/>
                <w:bCs/>
                <w:color w:val="auto"/>
                <w:sz w:val="24"/>
                <w:highlight w:val="none"/>
              </w:rPr>
            </w:pPr>
            <w:r>
              <w:rPr>
                <w:rFonts w:hint="eastAsia" w:ascii="宋体" w:hAnsi="宋体" w:cs="宋体"/>
                <w:bCs/>
                <w:color w:val="auto"/>
                <w:sz w:val="24"/>
                <w:highlight w:val="none"/>
              </w:rPr>
              <w:t>3</w:t>
            </w:r>
          </w:p>
        </w:tc>
        <w:tc>
          <w:tcPr>
            <w:tcW w:w="8915" w:type="dxa"/>
            <w:tcBorders>
              <w:top w:val="single" w:color="auto" w:sz="4" w:space="0"/>
              <w:left w:val="single" w:color="auto" w:sz="4" w:space="0"/>
              <w:bottom w:val="single" w:color="auto" w:sz="4" w:space="0"/>
              <w:right w:val="single" w:color="auto" w:sz="4" w:space="0"/>
            </w:tcBorders>
            <w:noWrap w:val="0"/>
            <w:vAlign w:val="center"/>
          </w:tcPr>
          <w:p w14:paraId="31A91FE4">
            <w:pPr>
              <w:keepNext w:val="0"/>
              <w:keepLines w:val="0"/>
              <w:pageBreakBefore w:val="0"/>
              <w:widowControl w:val="0"/>
              <w:kinsoku/>
              <w:wordWrap/>
              <w:overflowPunct/>
              <w:topLinePunct w:val="0"/>
              <w:autoSpaceDE/>
              <w:autoSpaceDN/>
              <w:bidi w:val="0"/>
              <w:adjustRightInd/>
              <w:snapToGrid/>
              <w:spacing w:line="320" w:lineRule="exact"/>
              <w:ind w:left="0" w:leftChars="0" w:right="0"/>
              <w:textAlignment w:val="auto"/>
              <w:rPr>
                <w:rFonts w:hint="eastAsia" w:ascii="宋体" w:hAnsi="宋体" w:cs="宋体"/>
                <w:bCs/>
                <w:color w:val="auto"/>
                <w:kern w:val="0"/>
                <w:sz w:val="24"/>
                <w:highlight w:val="none"/>
              </w:rPr>
            </w:pPr>
            <w:r>
              <w:rPr>
                <w:rFonts w:hint="eastAsia" w:ascii="宋体" w:hAnsi="宋体" w:cs="宋体"/>
                <w:bCs/>
                <w:color w:val="auto"/>
                <w:sz w:val="24"/>
                <w:highlight w:val="none"/>
              </w:rPr>
              <w:t>磋商保证金：/</w:t>
            </w:r>
          </w:p>
        </w:tc>
      </w:tr>
      <w:tr w14:paraId="765F725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354" w:hRule="atLeast"/>
        </w:trPr>
        <w:tc>
          <w:tcPr>
            <w:tcW w:w="744" w:type="dxa"/>
            <w:tcBorders>
              <w:top w:val="single" w:color="auto" w:sz="4" w:space="0"/>
              <w:left w:val="single" w:color="auto" w:sz="4" w:space="0"/>
              <w:bottom w:val="single" w:color="auto" w:sz="4" w:space="0"/>
              <w:right w:val="single" w:color="auto" w:sz="4" w:space="0"/>
            </w:tcBorders>
            <w:noWrap w:val="0"/>
            <w:vAlign w:val="center"/>
          </w:tcPr>
          <w:p w14:paraId="2FCBBBEE">
            <w:pPr>
              <w:keepNext w:val="0"/>
              <w:keepLines w:val="0"/>
              <w:pageBreakBefore w:val="0"/>
              <w:widowControl w:val="0"/>
              <w:kinsoku/>
              <w:wordWrap/>
              <w:overflowPunct/>
              <w:topLinePunct w:val="0"/>
              <w:autoSpaceDE/>
              <w:autoSpaceDN/>
              <w:bidi w:val="0"/>
              <w:adjustRightInd/>
              <w:snapToGrid/>
              <w:spacing w:line="320" w:lineRule="exact"/>
              <w:ind w:left="0" w:leftChars="0" w:right="0"/>
              <w:jc w:val="center"/>
              <w:textAlignment w:val="auto"/>
              <w:rPr>
                <w:rFonts w:hint="eastAsia" w:ascii="宋体" w:hAnsi="宋体" w:cs="宋体"/>
                <w:bCs/>
                <w:color w:val="auto"/>
                <w:sz w:val="24"/>
                <w:highlight w:val="none"/>
              </w:rPr>
            </w:pPr>
            <w:r>
              <w:rPr>
                <w:rFonts w:hint="eastAsia" w:ascii="宋体" w:hAnsi="宋体" w:cs="宋体"/>
                <w:bCs/>
                <w:color w:val="auto"/>
                <w:sz w:val="24"/>
                <w:highlight w:val="none"/>
              </w:rPr>
              <w:t>4</w:t>
            </w:r>
          </w:p>
        </w:tc>
        <w:tc>
          <w:tcPr>
            <w:tcW w:w="8915" w:type="dxa"/>
            <w:tcBorders>
              <w:top w:val="single" w:color="auto" w:sz="4" w:space="0"/>
              <w:left w:val="single" w:color="auto" w:sz="4" w:space="0"/>
              <w:bottom w:val="single" w:color="auto" w:sz="4" w:space="0"/>
              <w:right w:val="single" w:color="auto" w:sz="4" w:space="0"/>
            </w:tcBorders>
            <w:noWrap w:val="0"/>
            <w:vAlign w:val="center"/>
          </w:tcPr>
          <w:p w14:paraId="1817627F">
            <w:pPr>
              <w:keepNext w:val="0"/>
              <w:keepLines w:val="0"/>
              <w:pageBreakBefore w:val="0"/>
              <w:widowControl w:val="0"/>
              <w:kinsoku/>
              <w:wordWrap/>
              <w:overflowPunct/>
              <w:topLinePunct w:val="0"/>
              <w:autoSpaceDE/>
              <w:autoSpaceDN/>
              <w:bidi w:val="0"/>
              <w:adjustRightInd/>
              <w:snapToGrid/>
              <w:spacing w:line="320" w:lineRule="exact"/>
              <w:ind w:left="0" w:leftChars="0" w:right="0"/>
              <w:textAlignment w:val="auto"/>
              <w:rPr>
                <w:rFonts w:hint="eastAsia" w:ascii="宋体" w:hAnsi="宋体" w:cs="宋体"/>
                <w:bCs/>
                <w:color w:val="auto"/>
                <w:sz w:val="24"/>
                <w:highlight w:val="none"/>
              </w:rPr>
            </w:pPr>
            <w:r>
              <w:rPr>
                <w:rFonts w:hint="eastAsia" w:ascii="宋体" w:hAnsi="宋体" w:cs="宋体"/>
                <w:bCs/>
                <w:color w:val="auto"/>
                <w:sz w:val="24"/>
                <w:highlight w:val="none"/>
              </w:rPr>
              <w:t>采购人不集中组织答疑会，供应商如有疑问，需在</w:t>
            </w:r>
            <w:r>
              <w:rPr>
                <w:rFonts w:hint="eastAsia" w:ascii="宋体" w:hAnsi="宋体" w:cs="宋体"/>
                <w:bCs/>
                <w:color w:val="auto"/>
                <w:sz w:val="24"/>
                <w:highlight w:val="none"/>
                <w:u w:val="single"/>
                <w:lang w:eastAsia="zh-CN"/>
              </w:rPr>
              <w:t>2026年</w:t>
            </w:r>
            <w:r>
              <w:rPr>
                <w:rFonts w:hint="eastAsia" w:ascii="宋体" w:hAnsi="宋体" w:cs="宋体"/>
                <w:bCs/>
                <w:color w:val="auto"/>
                <w:sz w:val="24"/>
                <w:highlight w:val="none"/>
                <w:u w:val="single"/>
                <w:lang w:val="en-US" w:eastAsia="zh-CN"/>
              </w:rPr>
              <w:t>5</w:t>
            </w:r>
            <w:r>
              <w:rPr>
                <w:rFonts w:hint="eastAsia" w:ascii="宋体" w:hAnsi="宋体" w:cs="宋体"/>
                <w:bCs/>
                <w:color w:val="auto"/>
                <w:sz w:val="24"/>
                <w:highlight w:val="none"/>
                <w:u w:val="single"/>
              </w:rPr>
              <w:t>月</w:t>
            </w:r>
            <w:r>
              <w:rPr>
                <w:rFonts w:hint="eastAsia" w:ascii="宋体" w:hAnsi="宋体" w:cs="宋体"/>
                <w:bCs/>
                <w:color w:val="auto"/>
                <w:sz w:val="24"/>
                <w:highlight w:val="none"/>
                <w:u w:val="single"/>
                <w:lang w:val="en-US" w:eastAsia="zh-CN"/>
              </w:rPr>
              <w:t>15</w:t>
            </w:r>
            <w:r>
              <w:rPr>
                <w:rFonts w:hint="eastAsia" w:ascii="宋体" w:hAnsi="宋体" w:cs="宋体"/>
                <w:bCs/>
                <w:color w:val="auto"/>
                <w:sz w:val="24"/>
                <w:highlight w:val="none"/>
                <w:u w:val="single"/>
              </w:rPr>
              <w:t>日</w:t>
            </w:r>
            <w:r>
              <w:rPr>
                <w:rFonts w:hint="eastAsia" w:ascii="宋体" w:hAnsi="宋体" w:cs="宋体"/>
                <w:bCs/>
                <w:color w:val="auto"/>
                <w:sz w:val="24"/>
                <w:highlight w:val="none"/>
                <w:u w:val="single"/>
                <w:lang w:val="en-US" w:eastAsia="zh-CN"/>
              </w:rPr>
              <w:t>18</w:t>
            </w:r>
            <w:r>
              <w:rPr>
                <w:rFonts w:hint="eastAsia" w:ascii="宋体" w:hAnsi="宋体" w:cs="宋体"/>
                <w:bCs/>
                <w:color w:val="auto"/>
                <w:sz w:val="24"/>
                <w:highlight w:val="none"/>
                <w:u w:val="single"/>
              </w:rPr>
              <w:t>时</w:t>
            </w:r>
            <w:r>
              <w:rPr>
                <w:rFonts w:hint="eastAsia" w:ascii="宋体" w:hAnsi="宋体" w:cs="宋体"/>
                <w:bCs/>
                <w:color w:val="auto"/>
                <w:sz w:val="24"/>
                <w:highlight w:val="none"/>
                <w:u w:val="single"/>
                <w:lang w:val="en-US" w:eastAsia="zh-CN"/>
              </w:rPr>
              <w:t>0</w:t>
            </w:r>
            <w:r>
              <w:rPr>
                <w:rFonts w:hint="eastAsia" w:ascii="宋体" w:hAnsi="宋体" w:cs="宋体"/>
                <w:bCs/>
                <w:color w:val="auto"/>
                <w:sz w:val="24"/>
                <w:highlight w:val="none"/>
                <w:u w:val="single"/>
              </w:rPr>
              <w:t>0分</w:t>
            </w:r>
            <w:r>
              <w:rPr>
                <w:rFonts w:hint="eastAsia" w:ascii="宋体" w:hAnsi="宋体" w:cs="宋体"/>
                <w:bCs/>
                <w:color w:val="auto"/>
                <w:sz w:val="24"/>
                <w:highlight w:val="none"/>
              </w:rPr>
              <w:t>前向采购代理机构通过（Email:</w:t>
            </w:r>
            <w:r>
              <w:rPr>
                <w:rFonts w:hint="eastAsia" w:ascii="宋体" w:hAnsi="宋体" w:cs="宋体"/>
                <w:bCs/>
                <w:color w:val="auto"/>
                <w:sz w:val="24"/>
                <w:highlight w:val="none"/>
                <w:lang w:val="en-US" w:eastAsia="zh-CN"/>
              </w:rPr>
              <w:t>465894672</w:t>
            </w:r>
            <w:r>
              <w:rPr>
                <w:rFonts w:hint="eastAsia" w:ascii="宋体" w:hAnsi="宋体" w:cs="宋体"/>
                <w:bCs/>
                <w:color w:val="auto"/>
                <w:sz w:val="24"/>
                <w:highlight w:val="none"/>
              </w:rPr>
              <w:t>@qq.com）提交采购事宜的质疑，采购代理机构在规定时间内对问题作出整理后，将在</w:t>
            </w:r>
            <w:r>
              <w:rPr>
                <w:rFonts w:hint="eastAsia" w:ascii="宋体" w:hAnsi="宋体" w:cs="宋体"/>
                <w:bCs/>
                <w:color w:val="auto"/>
                <w:sz w:val="24"/>
                <w:highlight w:val="none"/>
                <w:lang w:eastAsia="zh-CN"/>
              </w:rPr>
              <w:t>枝江市安福寺镇政务公开网</w:t>
            </w:r>
            <w:r>
              <w:rPr>
                <w:rFonts w:hint="eastAsia" w:ascii="宋体" w:hAnsi="宋体" w:cs="宋体"/>
                <w:bCs/>
                <w:color w:val="auto"/>
                <w:sz w:val="24"/>
                <w:highlight w:val="none"/>
              </w:rPr>
              <w:t>公布答疑回复。</w:t>
            </w:r>
          </w:p>
          <w:p w14:paraId="2ACFDE6E">
            <w:pPr>
              <w:keepNext w:val="0"/>
              <w:keepLines w:val="0"/>
              <w:pageBreakBefore w:val="0"/>
              <w:widowControl w:val="0"/>
              <w:kinsoku/>
              <w:wordWrap/>
              <w:overflowPunct/>
              <w:topLinePunct w:val="0"/>
              <w:autoSpaceDE/>
              <w:autoSpaceDN/>
              <w:bidi w:val="0"/>
              <w:adjustRightInd/>
              <w:snapToGrid/>
              <w:spacing w:line="320" w:lineRule="exact"/>
              <w:ind w:left="0" w:leftChars="0" w:right="0"/>
              <w:textAlignment w:val="auto"/>
              <w:rPr>
                <w:rFonts w:hint="default" w:ascii="宋体" w:hAnsi="宋体" w:eastAsia="宋体" w:cs="宋体"/>
                <w:bCs/>
                <w:color w:val="auto"/>
                <w:sz w:val="24"/>
                <w:highlight w:val="none"/>
                <w:lang w:val="en-US" w:eastAsia="zh-CN"/>
              </w:rPr>
            </w:pPr>
            <w:r>
              <w:rPr>
                <w:rFonts w:hint="eastAsia" w:ascii="宋体" w:hAnsi="宋体" w:cs="宋体"/>
                <w:bCs/>
                <w:color w:val="auto"/>
                <w:sz w:val="24"/>
                <w:highlight w:val="none"/>
              </w:rPr>
              <w:t>开始时间：</w:t>
            </w:r>
            <w:r>
              <w:rPr>
                <w:rFonts w:hint="eastAsia" w:ascii="宋体" w:hAnsi="宋体" w:cs="宋体"/>
                <w:bCs/>
                <w:color w:val="auto"/>
                <w:sz w:val="24"/>
                <w:highlight w:val="none"/>
                <w:u w:val="single"/>
                <w:lang w:eastAsia="zh-CN"/>
              </w:rPr>
              <w:t>2026年</w:t>
            </w:r>
            <w:r>
              <w:rPr>
                <w:rFonts w:hint="eastAsia" w:ascii="宋体" w:hAnsi="宋体" w:cs="宋体"/>
                <w:bCs/>
                <w:color w:val="auto"/>
                <w:sz w:val="24"/>
                <w:highlight w:val="none"/>
                <w:u w:val="single"/>
                <w:lang w:val="en-US" w:eastAsia="zh-CN"/>
              </w:rPr>
              <w:t>5</w:t>
            </w:r>
            <w:r>
              <w:rPr>
                <w:rFonts w:hint="eastAsia" w:ascii="宋体" w:hAnsi="宋体" w:cs="宋体"/>
                <w:bCs/>
                <w:color w:val="auto"/>
                <w:sz w:val="24"/>
                <w:highlight w:val="none"/>
                <w:u w:val="single"/>
              </w:rPr>
              <w:t>月</w:t>
            </w:r>
            <w:r>
              <w:rPr>
                <w:rFonts w:hint="eastAsia" w:ascii="宋体" w:hAnsi="宋体" w:cs="宋体"/>
                <w:bCs/>
                <w:color w:val="auto"/>
                <w:sz w:val="24"/>
                <w:highlight w:val="none"/>
                <w:u w:val="single"/>
                <w:lang w:val="en-US" w:eastAsia="zh-CN"/>
              </w:rPr>
              <w:t>11</w:t>
            </w:r>
            <w:r>
              <w:rPr>
                <w:rFonts w:hint="eastAsia" w:ascii="宋体" w:hAnsi="宋体" w:cs="宋体"/>
                <w:bCs/>
                <w:color w:val="auto"/>
                <w:sz w:val="24"/>
                <w:highlight w:val="none"/>
                <w:u w:val="single"/>
              </w:rPr>
              <w:t>日</w:t>
            </w:r>
            <w:r>
              <w:rPr>
                <w:rFonts w:hint="eastAsia" w:ascii="宋体" w:hAnsi="宋体" w:cs="宋体"/>
                <w:bCs/>
                <w:color w:val="auto"/>
                <w:sz w:val="24"/>
                <w:highlight w:val="none"/>
                <w:u w:val="single"/>
                <w:lang w:val="en-US" w:eastAsia="zh-CN"/>
              </w:rPr>
              <w:t>08</w:t>
            </w:r>
            <w:r>
              <w:rPr>
                <w:rFonts w:hint="eastAsia" w:ascii="宋体" w:hAnsi="宋体" w:cs="宋体"/>
                <w:bCs/>
                <w:color w:val="auto"/>
                <w:sz w:val="24"/>
                <w:highlight w:val="none"/>
                <w:u w:val="single"/>
              </w:rPr>
              <w:t>时</w:t>
            </w:r>
            <w:r>
              <w:rPr>
                <w:rFonts w:hint="eastAsia" w:ascii="宋体" w:hAnsi="宋体" w:cs="宋体"/>
                <w:bCs/>
                <w:color w:val="auto"/>
                <w:sz w:val="24"/>
                <w:highlight w:val="none"/>
                <w:u w:val="single"/>
                <w:lang w:val="en-US" w:eastAsia="zh-CN"/>
              </w:rPr>
              <w:t>00分</w:t>
            </w:r>
          </w:p>
          <w:p w14:paraId="2AAC098C">
            <w:pPr>
              <w:keepNext w:val="0"/>
              <w:keepLines w:val="0"/>
              <w:pageBreakBefore w:val="0"/>
              <w:widowControl w:val="0"/>
              <w:kinsoku/>
              <w:wordWrap/>
              <w:overflowPunct/>
              <w:topLinePunct w:val="0"/>
              <w:autoSpaceDE/>
              <w:autoSpaceDN/>
              <w:bidi w:val="0"/>
              <w:adjustRightInd/>
              <w:snapToGrid/>
              <w:spacing w:line="320" w:lineRule="exact"/>
              <w:ind w:left="0" w:leftChars="0" w:right="0"/>
              <w:textAlignment w:val="auto"/>
              <w:rPr>
                <w:rFonts w:hint="eastAsia" w:ascii="宋体" w:hAnsi="宋体" w:cs="宋体"/>
                <w:bCs/>
                <w:color w:val="auto"/>
                <w:sz w:val="24"/>
                <w:highlight w:val="none"/>
              </w:rPr>
            </w:pPr>
            <w:r>
              <w:rPr>
                <w:rFonts w:hint="eastAsia" w:ascii="宋体" w:hAnsi="宋体" w:cs="宋体"/>
                <w:bCs/>
                <w:color w:val="auto"/>
                <w:sz w:val="24"/>
                <w:highlight w:val="none"/>
              </w:rPr>
              <w:t>结束时间：</w:t>
            </w:r>
            <w:r>
              <w:rPr>
                <w:rFonts w:hint="eastAsia" w:ascii="宋体" w:hAnsi="宋体" w:cs="宋体"/>
                <w:bCs/>
                <w:color w:val="auto"/>
                <w:sz w:val="24"/>
                <w:highlight w:val="none"/>
                <w:u w:val="single"/>
                <w:lang w:eastAsia="zh-CN"/>
              </w:rPr>
              <w:t>2026年</w:t>
            </w:r>
            <w:r>
              <w:rPr>
                <w:rFonts w:hint="eastAsia" w:ascii="宋体" w:hAnsi="宋体" w:cs="宋体"/>
                <w:bCs/>
                <w:color w:val="auto"/>
                <w:sz w:val="24"/>
                <w:highlight w:val="none"/>
                <w:u w:val="single"/>
                <w:lang w:val="en-US" w:eastAsia="zh-CN"/>
              </w:rPr>
              <w:t>5</w:t>
            </w:r>
            <w:r>
              <w:rPr>
                <w:rFonts w:hint="eastAsia" w:ascii="宋体" w:hAnsi="宋体" w:cs="宋体"/>
                <w:bCs/>
                <w:color w:val="auto"/>
                <w:sz w:val="24"/>
                <w:highlight w:val="none"/>
                <w:u w:val="single"/>
              </w:rPr>
              <w:t>月</w:t>
            </w:r>
            <w:r>
              <w:rPr>
                <w:rFonts w:hint="eastAsia" w:ascii="宋体" w:hAnsi="宋体" w:cs="宋体"/>
                <w:bCs/>
                <w:color w:val="auto"/>
                <w:sz w:val="24"/>
                <w:highlight w:val="none"/>
                <w:u w:val="single"/>
                <w:lang w:val="en-US" w:eastAsia="zh-CN"/>
              </w:rPr>
              <w:t>15</w:t>
            </w:r>
            <w:r>
              <w:rPr>
                <w:rFonts w:hint="eastAsia" w:ascii="宋体" w:hAnsi="宋体" w:cs="宋体"/>
                <w:bCs/>
                <w:color w:val="auto"/>
                <w:sz w:val="24"/>
                <w:highlight w:val="none"/>
                <w:u w:val="single"/>
              </w:rPr>
              <w:t>日</w:t>
            </w:r>
            <w:r>
              <w:rPr>
                <w:rFonts w:hint="eastAsia" w:ascii="宋体" w:hAnsi="宋体" w:cs="宋体"/>
                <w:bCs/>
                <w:color w:val="auto"/>
                <w:sz w:val="24"/>
                <w:highlight w:val="none"/>
                <w:u w:val="single"/>
                <w:lang w:val="en-US" w:eastAsia="zh-CN"/>
              </w:rPr>
              <w:t>18</w:t>
            </w:r>
            <w:r>
              <w:rPr>
                <w:rFonts w:hint="eastAsia" w:ascii="宋体" w:hAnsi="宋体" w:cs="宋体"/>
                <w:bCs/>
                <w:color w:val="auto"/>
                <w:sz w:val="24"/>
                <w:highlight w:val="none"/>
                <w:u w:val="single"/>
              </w:rPr>
              <w:t>时</w:t>
            </w:r>
            <w:r>
              <w:rPr>
                <w:rFonts w:hint="eastAsia" w:ascii="宋体" w:hAnsi="宋体" w:cs="宋体"/>
                <w:bCs/>
                <w:color w:val="auto"/>
                <w:sz w:val="24"/>
                <w:highlight w:val="none"/>
                <w:u w:val="single"/>
                <w:lang w:val="en-US" w:eastAsia="zh-CN"/>
              </w:rPr>
              <w:t>0</w:t>
            </w:r>
            <w:r>
              <w:rPr>
                <w:rFonts w:hint="eastAsia" w:ascii="宋体" w:hAnsi="宋体" w:cs="宋体"/>
                <w:bCs/>
                <w:color w:val="auto"/>
                <w:sz w:val="24"/>
                <w:highlight w:val="none"/>
                <w:u w:val="single"/>
              </w:rPr>
              <w:t>0分</w:t>
            </w:r>
          </w:p>
          <w:p w14:paraId="4271A28D">
            <w:pPr>
              <w:keepNext w:val="0"/>
              <w:keepLines w:val="0"/>
              <w:pageBreakBefore w:val="0"/>
              <w:widowControl w:val="0"/>
              <w:kinsoku/>
              <w:wordWrap/>
              <w:overflowPunct/>
              <w:topLinePunct w:val="0"/>
              <w:autoSpaceDE/>
              <w:autoSpaceDN/>
              <w:bidi w:val="0"/>
              <w:adjustRightInd/>
              <w:snapToGrid/>
              <w:spacing w:line="320" w:lineRule="exact"/>
              <w:ind w:left="0" w:leftChars="0" w:right="0"/>
              <w:textAlignment w:val="auto"/>
              <w:rPr>
                <w:rFonts w:hint="eastAsia" w:ascii="宋体" w:hAnsi="宋体" w:cs="宋体"/>
                <w:bCs/>
                <w:color w:val="auto"/>
                <w:sz w:val="24"/>
                <w:highlight w:val="none"/>
              </w:rPr>
            </w:pPr>
            <w:r>
              <w:rPr>
                <w:rFonts w:hint="eastAsia" w:ascii="宋体" w:hAnsi="宋体" w:cs="宋体"/>
                <w:bCs/>
                <w:color w:val="auto"/>
                <w:sz w:val="24"/>
                <w:highlight w:val="none"/>
              </w:rPr>
              <w:t>回复时间：</w:t>
            </w:r>
            <w:r>
              <w:rPr>
                <w:rFonts w:hint="eastAsia" w:ascii="宋体" w:hAnsi="宋体" w:cs="宋体"/>
                <w:bCs/>
                <w:color w:val="auto"/>
                <w:sz w:val="24"/>
                <w:highlight w:val="none"/>
                <w:u w:val="single"/>
                <w:lang w:eastAsia="zh-CN"/>
              </w:rPr>
              <w:t>2026年</w:t>
            </w:r>
            <w:r>
              <w:rPr>
                <w:rFonts w:hint="eastAsia" w:ascii="宋体" w:hAnsi="宋体" w:cs="宋体"/>
                <w:bCs/>
                <w:color w:val="auto"/>
                <w:sz w:val="24"/>
                <w:highlight w:val="none"/>
                <w:u w:val="single"/>
                <w:lang w:val="en-US" w:eastAsia="zh-CN"/>
              </w:rPr>
              <w:t>5</w:t>
            </w:r>
            <w:r>
              <w:rPr>
                <w:rFonts w:hint="eastAsia" w:ascii="宋体" w:hAnsi="宋体" w:cs="宋体"/>
                <w:bCs/>
                <w:color w:val="auto"/>
                <w:sz w:val="24"/>
                <w:highlight w:val="none"/>
                <w:u w:val="single"/>
              </w:rPr>
              <w:t>月</w:t>
            </w:r>
            <w:r>
              <w:rPr>
                <w:rFonts w:hint="eastAsia" w:ascii="宋体" w:hAnsi="宋体" w:cs="宋体"/>
                <w:bCs/>
                <w:color w:val="auto"/>
                <w:sz w:val="24"/>
                <w:highlight w:val="none"/>
                <w:u w:val="single"/>
                <w:lang w:val="en-US" w:eastAsia="zh-CN"/>
              </w:rPr>
              <w:t>15</w:t>
            </w:r>
            <w:r>
              <w:rPr>
                <w:rFonts w:hint="eastAsia" w:ascii="宋体" w:hAnsi="宋体" w:cs="宋体"/>
                <w:bCs/>
                <w:color w:val="auto"/>
                <w:sz w:val="24"/>
                <w:highlight w:val="none"/>
                <w:u w:val="single"/>
              </w:rPr>
              <w:t>日</w:t>
            </w:r>
            <w:r>
              <w:rPr>
                <w:rFonts w:hint="eastAsia" w:ascii="宋体" w:hAnsi="宋体" w:cs="宋体"/>
                <w:bCs/>
                <w:color w:val="auto"/>
                <w:sz w:val="24"/>
                <w:highlight w:val="none"/>
                <w:u w:val="single"/>
                <w:lang w:val="en-US" w:eastAsia="zh-CN"/>
              </w:rPr>
              <w:t>18</w:t>
            </w:r>
            <w:r>
              <w:rPr>
                <w:rFonts w:hint="eastAsia" w:ascii="宋体" w:hAnsi="宋体" w:cs="宋体"/>
                <w:bCs/>
                <w:color w:val="auto"/>
                <w:sz w:val="24"/>
                <w:highlight w:val="none"/>
                <w:u w:val="single"/>
              </w:rPr>
              <w:t>时</w:t>
            </w:r>
            <w:r>
              <w:rPr>
                <w:rFonts w:hint="eastAsia" w:ascii="宋体" w:hAnsi="宋体" w:cs="宋体"/>
                <w:bCs/>
                <w:color w:val="auto"/>
                <w:sz w:val="24"/>
                <w:highlight w:val="none"/>
                <w:u w:val="single"/>
                <w:lang w:val="en-US" w:eastAsia="zh-CN"/>
              </w:rPr>
              <w:t>3</w:t>
            </w:r>
            <w:r>
              <w:rPr>
                <w:rFonts w:hint="eastAsia" w:ascii="宋体" w:hAnsi="宋体" w:cs="宋体"/>
                <w:bCs/>
                <w:color w:val="auto"/>
                <w:sz w:val="24"/>
                <w:highlight w:val="none"/>
                <w:u w:val="single"/>
              </w:rPr>
              <w:t>0分</w:t>
            </w:r>
          </w:p>
        </w:tc>
      </w:tr>
      <w:tr w14:paraId="02F4F4E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5" w:hRule="exact"/>
        </w:trPr>
        <w:tc>
          <w:tcPr>
            <w:tcW w:w="744" w:type="dxa"/>
            <w:tcBorders>
              <w:top w:val="single" w:color="auto" w:sz="4" w:space="0"/>
              <w:left w:val="single" w:color="auto" w:sz="4" w:space="0"/>
              <w:bottom w:val="single" w:color="auto" w:sz="4" w:space="0"/>
              <w:right w:val="single" w:color="auto" w:sz="4" w:space="0"/>
            </w:tcBorders>
            <w:noWrap w:val="0"/>
            <w:vAlign w:val="center"/>
          </w:tcPr>
          <w:p w14:paraId="726189A5">
            <w:pPr>
              <w:keepNext w:val="0"/>
              <w:keepLines w:val="0"/>
              <w:pageBreakBefore w:val="0"/>
              <w:widowControl w:val="0"/>
              <w:kinsoku/>
              <w:wordWrap/>
              <w:overflowPunct/>
              <w:topLinePunct w:val="0"/>
              <w:autoSpaceDE/>
              <w:autoSpaceDN/>
              <w:bidi w:val="0"/>
              <w:adjustRightInd/>
              <w:snapToGrid/>
              <w:spacing w:line="320" w:lineRule="exact"/>
              <w:ind w:left="0" w:leftChars="0" w:right="0"/>
              <w:jc w:val="center"/>
              <w:textAlignment w:val="auto"/>
              <w:rPr>
                <w:rFonts w:hint="eastAsia" w:ascii="宋体" w:hAnsi="宋体" w:cs="宋体"/>
                <w:bCs/>
                <w:color w:val="auto"/>
                <w:sz w:val="24"/>
                <w:highlight w:val="none"/>
              </w:rPr>
            </w:pPr>
            <w:r>
              <w:rPr>
                <w:rFonts w:hint="eastAsia" w:ascii="宋体" w:hAnsi="宋体" w:cs="宋体"/>
                <w:bCs/>
                <w:color w:val="auto"/>
                <w:sz w:val="24"/>
                <w:highlight w:val="none"/>
              </w:rPr>
              <w:t>5</w:t>
            </w:r>
          </w:p>
        </w:tc>
        <w:tc>
          <w:tcPr>
            <w:tcW w:w="8915" w:type="dxa"/>
            <w:tcBorders>
              <w:top w:val="single" w:color="auto" w:sz="4" w:space="0"/>
              <w:left w:val="single" w:color="auto" w:sz="4" w:space="0"/>
              <w:bottom w:val="single" w:color="auto" w:sz="4" w:space="0"/>
              <w:right w:val="single" w:color="auto" w:sz="4" w:space="0"/>
            </w:tcBorders>
            <w:noWrap w:val="0"/>
            <w:vAlign w:val="center"/>
          </w:tcPr>
          <w:p w14:paraId="6463EE07">
            <w:pPr>
              <w:keepNext w:val="0"/>
              <w:keepLines w:val="0"/>
              <w:pageBreakBefore w:val="0"/>
              <w:widowControl w:val="0"/>
              <w:kinsoku/>
              <w:wordWrap/>
              <w:overflowPunct/>
              <w:topLinePunct w:val="0"/>
              <w:autoSpaceDE/>
              <w:autoSpaceDN/>
              <w:bidi w:val="0"/>
              <w:adjustRightInd/>
              <w:snapToGrid/>
              <w:spacing w:line="320" w:lineRule="exact"/>
              <w:ind w:left="2430" w:leftChars="0" w:right="0" w:hanging="2430" w:hangingChars="1000"/>
              <w:jc w:val="left"/>
              <w:textAlignment w:val="auto"/>
              <w:rPr>
                <w:rFonts w:hint="eastAsia" w:ascii="宋体" w:hAnsi="宋体" w:cs="宋体"/>
                <w:bCs/>
                <w:color w:val="auto"/>
                <w:sz w:val="24"/>
                <w:highlight w:val="none"/>
              </w:rPr>
            </w:pPr>
            <w:r>
              <w:rPr>
                <w:rFonts w:hint="eastAsia" w:ascii="宋体" w:hAnsi="宋体" w:cs="宋体"/>
                <w:bCs/>
                <w:color w:val="auto"/>
                <w:sz w:val="24"/>
                <w:highlight w:val="none"/>
              </w:rPr>
              <w:t>磋商响应性文件份数：纸质磋商</w:t>
            </w:r>
            <w:r>
              <w:rPr>
                <w:rFonts w:hint="eastAsia" w:ascii="宋体" w:hAnsi="宋体" w:cs="宋体"/>
                <w:color w:val="auto"/>
                <w:sz w:val="24"/>
                <w:highlight w:val="none"/>
              </w:rPr>
              <w:t>响应性文件两</w:t>
            </w:r>
            <w:r>
              <w:rPr>
                <w:rFonts w:hint="eastAsia" w:ascii="宋体" w:hAnsi="宋体" w:cs="宋体"/>
                <w:bCs/>
                <w:color w:val="auto"/>
                <w:sz w:val="24"/>
                <w:highlight w:val="none"/>
              </w:rPr>
              <w:t>份，其中正本一份，副本一份</w:t>
            </w:r>
            <w:r>
              <w:rPr>
                <w:rFonts w:hint="eastAsia" w:ascii="宋体" w:hAnsi="宋体" w:cs="宋体"/>
                <w:bCs/>
                <w:color w:val="auto"/>
                <w:sz w:val="24"/>
                <w:highlight w:val="none"/>
                <w:lang w:eastAsia="zh-CN"/>
              </w:rPr>
              <w:t>，电子版（</w:t>
            </w:r>
            <w:r>
              <w:rPr>
                <w:rFonts w:hint="eastAsia" w:ascii="宋体" w:hAnsi="宋体" w:cs="宋体"/>
                <w:bCs/>
                <w:color w:val="auto"/>
                <w:sz w:val="24"/>
                <w:highlight w:val="none"/>
                <w:lang w:val="en-US" w:eastAsia="zh-CN"/>
              </w:rPr>
              <w:t>U盘</w:t>
            </w:r>
            <w:r>
              <w:rPr>
                <w:rFonts w:hint="eastAsia" w:ascii="宋体" w:hAnsi="宋体" w:cs="宋体"/>
                <w:bCs/>
                <w:color w:val="auto"/>
                <w:sz w:val="24"/>
                <w:highlight w:val="none"/>
                <w:lang w:eastAsia="zh-CN"/>
              </w:rPr>
              <w:t>）一份</w:t>
            </w:r>
            <w:r>
              <w:rPr>
                <w:rFonts w:hint="eastAsia" w:ascii="宋体" w:hAnsi="宋体" w:cs="宋体"/>
                <w:bCs/>
                <w:color w:val="auto"/>
                <w:sz w:val="24"/>
                <w:highlight w:val="none"/>
              </w:rPr>
              <w:t>；</w:t>
            </w:r>
          </w:p>
        </w:tc>
      </w:tr>
      <w:tr w14:paraId="1E75AF6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372" w:hRule="exact"/>
        </w:trPr>
        <w:tc>
          <w:tcPr>
            <w:tcW w:w="744" w:type="dxa"/>
            <w:tcBorders>
              <w:top w:val="single" w:color="auto" w:sz="4" w:space="0"/>
              <w:left w:val="single" w:color="auto" w:sz="4" w:space="0"/>
              <w:bottom w:val="single" w:color="auto" w:sz="4" w:space="0"/>
              <w:right w:val="single" w:color="auto" w:sz="4" w:space="0"/>
            </w:tcBorders>
            <w:noWrap w:val="0"/>
            <w:vAlign w:val="center"/>
          </w:tcPr>
          <w:p w14:paraId="0FBDDE78">
            <w:pPr>
              <w:keepNext w:val="0"/>
              <w:keepLines w:val="0"/>
              <w:pageBreakBefore w:val="0"/>
              <w:widowControl w:val="0"/>
              <w:kinsoku/>
              <w:wordWrap/>
              <w:overflowPunct/>
              <w:topLinePunct w:val="0"/>
              <w:autoSpaceDE/>
              <w:autoSpaceDN/>
              <w:bidi w:val="0"/>
              <w:adjustRightInd/>
              <w:snapToGrid/>
              <w:spacing w:line="320" w:lineRule="exact"/>
              <w:ind w:left="0" w:leftChars="0" w:right="0"/>
              <w:jc w:val="center"/>
              <w:textAlignment w:val="auto"/>
              <w:rPr>
                <w:rFonts w:hint="eastAsia" w:ascii="宋体" w:hAnsi="宋体" w:cs="宋体"/>
                <w:bCs/>
                <w:color w:val="auto"/>
                <w:sz w:val="24"/>
                <w:highlight w:val="none"/>
              </w:rPr>
            </w:pPr>
            <w:r>
              <w:rPr>
                <w:rFonts w:hint="eastAsia" w:ascii="宋体" w:hAnsi="宋体" w:cs="宋体"/>
                <w:bCs/>
                <w:color w:val="auto"/>
                <w:sz w:val="24"/>
                <w:highlight w:val="none"/>
              </w:rPr>
              <w:t>6</w:t>
            </w:r>
          </w:p>
        </w:tc>
        <w:tc>
          <w:tcPr>
            <w:tcW w:w="8915" w:type="dxa"/>
            <w:tcBorders>
              <w:top w:val="single" w:color="auto" w:sz="4" w:space="0"/>
              <w:left w:val="single" w:color="auto" w:sz="4" w:space="0"/>
              <w:bottom w:val="single" w:color="auto" w:sz="4" w:space="0"/>
              <w:right w:val="single" w:color="auto" w:sz="4" w:space="0"/>
            </w:tcBorders>
            <w:noWrap w:val="0"/>
            <w:vAlign w:val="center"/>
          </w:tcPr>
          <w:p w14:paraId="69AA8E0D">
            <w:pPr>
              <w:keepNext w:val="0"/>
              <w:keepLines w:val="0"/>
              <w:pageBreakBefore w:val="0"/>
              <w:widowControl w:val="0"/>
              <w:kinsoku/>
              <w:wordWrap/>
              <w:overflowPunct/>
              <w:topLinePunct w:val="0"/>
              <w:autoSpaceDE/>
              <w:autoSpaceDN/>
              <w:bidi w:val="0"/>
              <w:adjustRightInd/>
              <w:snapToGrid/>
              <w:spacing w:line="320" w:lineRule="exact"/>
              <w:ind w:left="0" w:leftChars="0" w:right="0"/>
              <w:textAlignment w:val="auto"/>
              <w:rPr>
                <w:rFonts w:hint="eastAsia" w:ascii="宋体" w:hAnsi="宋体" w:cs="宋体"/>
                <w:bCs/>
                <w:color w:val="auto"/>
                <w:sz w:val="24"/>
                <w:highlight w:val="none"/>
              </w:rPr>
            </w:pPr>
            <w:r>
              <w:rPr>
                <w:rFonts w:hint="eastAsia" w:ascii="宋体" w:hAnsi="宋体" w:cs="宋体"/>
                <w:bCs/>
                <w:color w:val="auto"/>
                <w:sz w:val="24"/>
                <w:highlight w:val="none"/>
              </w:rPr>
              <w:t>磋商响应性文件递交时间：</w:t>
            </w:r>
            <w:r>
              <w:rPr>
                <w:rFonts w:hint="eastAsia" w:ascii="宋体" w:hAnsi="宋体" w:cs="宋体"/>
                <w:bCs/>
                <w:color w:val="auto"/>
                <w:sz w:val="24"/>
                <w:highlight w:val="none"/>
                <w:u w:val="single"/>
                <w:lang w:eastAsia="zh-CN"/>
              </w:rPr>
              <w:t>2026年</w:t>
            </w:r>
            <w:r>
              <w:rPr>
                <w:rFonts w:hint="eastAsia" w:ascii="宋体" w:hAnsi="宋体" w:cs="宋体"/>
                <w:bCs/>
                <w:color w:val="auto"/>
                <w:sz w:val="24"/>
                <w:highlight w:val="none"/>
                <w:u w:val="single"/>
                <w:lang w:val="en-US" w:eastAsia="zh-CN"/>
              </w:rPr>
              <w:t>5</w:t>
            </w:r>
            <w:r>
              <w:rPr>
                <w:rFonts w:hint="eastAsia" w:ascii="宋体" w:hAnsi="宋体" w:cs="宋体"/>
                <w:bCs/>
                <w:color w:val="auto"/>
                <w:sz w:val="24"/>
                <w:highlight w:val="none"/>
                <w:u w:val="single"/>
              </w:rPr>
              <w:t>月</w:t>
            </w:r>
            <w:r>
              <w:rPr>
                <w:rFonts w:hint="eastAsia" w:ascii="宋体" w:hAnsi="宋体" w:cs="宋体"/>
                <w:bCs/>
                <w:color w:val="auto"/>
                <w:sz w:val="24"/>
                <w:highlight w:val="none"/>
                <w:u w:val="single"/>
                <w:lang w:val="en-US" w:eastAsia="zh-CN"/>
              </w:rPr>
              <w:t>21</w:t>
            </w:r>
            <w:r>
              <w:rPr>
                <w:rFonts w:hint="eastAsia" w:ascii="宋体" w:hAnsi="宋体" w:cs="宋体"/>
                <w:bCs/>
                <w:color w:val="auto"/>
                <w:sz w:val="24"/>
                <w:highlight w:val="none"/>
                <w:u w:val="single"/>
              </w:rPr>
              <w:t>日</w:t>
            </w:r>
            <w:r>
              <w:rPr>
                <w:rFonts w:hint="eastAsia" w:ascii="宋体" w:hAnsi="宋体" w:cs="宋体"/>
                <w:bCs/>
                <w:color w:val="auto"/>
                <w:sz w:val="24"/>
                <w:highlight w:val="none"/>
                <w:u w:val="single"/>
                <w:lang w:val="en-US" w:eastAsia="zh-CN"/>
              </w:rPr>
              <w:t>9</w:t>
            </w:r>
            <w:r>
              <w:rPr>
                <w:rFonts w:hint="eastAsia" w:ascii="宋体" w:hAnsi="宋体" w:cs="宋体"/>
                <w:bCs/>
                <w:color w:val="auto"/>
                <w:sz w:val="24"/>
                <w:highlight w:val="none"/>
                <w:u w:val="single"/>
              </w:rPr>
              <w:t>时</w:t>
            </w:r>
            <w:r>
              <w:rPr>
                <w:rFonts w:hint="eastAsia" w:ascii="宋体" w:hAnsi="宋体" w:cs="宋体"/>
                <w:bCs/>
                <w:color w:val="auto"/>
                <w:sz w:val="24"/>
                <w:highlight w:val="none"/>
                <w:u w:val="single"/>
                <w:lang w:val="en-US" w:eastAsia="zh-CN"/>
              </w:rPr>
              <w:t>00</w:t>
            </w:r>
            <w:r>
              <w:rPr>
                <w:rFonts w:hint="eastAsia" w:ascii="宋体" w:hAnsi="宋体" w:cs="宋体"/>
                <w:bCs/>
                <w:color w:val="auto"/>
                <w:sz w:val="24"/>
                <w:highlight w:val="none"/>
                <w:u w:val="single"/>
              </w:rPr>
              <w:t>分</w:t>
            </w:r>
            <w:r>
              <w:rPr>
                <w:rFonts w:hint="eastAsia" w:ascii="宋体" w:hAnsi="宋体" w:cs="宋体"/>
                <w:bCs/>
                <w:color w:val="auto"/>
                <w:sz w:val="24"/>
                <w:highlight w:val="none"/>
              </w:rPr>
              <w:t>—</w:t>
            </w:r>
            <w:r>
              <w:rPr>
                <w:rFonts w:hint="eastAsia" w:ascii="宋体" w:hAnsi="宋体" w:cs="宋体"/>
                <w:bCs/>
                <w:color w:val="auto"/>
                <w:sz w:val="24"/>
                <w:highlight w:val="none"/>
                <w:u w:val="single"/>
                <w:lang w:val="en-US" w:eastAsia="zh-CN"/>
              </w:rPr>
              <w:t>9</w:t>
            </w:r>
            <w:r>
              <w:rPr>
                <w:rFonts w:hint="eastAsia" w:ascii="宋体" w:hAnsi="宋体" w:cs="宋体"/>
                <w:bCs/>
                <w:color w:val="auto"/>
                <w:sz w:val="24"/>
                <w:highlight w:val="none"/>
                <w:u w:val="single"/>
              </w:rPr>
              <w:t>时</w:t>
            </w:r>
            <w:r>
              <w:rPr>
                <w:rFonts w:hint="eastAsia" w:ascii="宋体" w:hAnsi="宋体" w:cs="宋体"/>
                <w:bCs/>
                <w:color w:val="auto"/>
                <w:sz w:val="24"/>
                <w:highlight w:val="none"/>
                <w:u w:val="single"/>
                <w:lang w:val="en-US" w:eastAsia="zh-CN"/>
              </w:rPr>
              <w:t>30</w:t>
            </w:r>
            <w:r>
              <w:rPr>
                <w:rFonts w:hint="eastAsia" w:ascii="宋体" w:hAnsi="宋体" w:cs="宋体"/>
                <w:bCs/>
                <w:color w:val="auto"/>
                <w:sz w:val="24"/>
                <w:highlight w:val="none"/>
                <w:u w:val="single"/>
              </w:rPr>
              <w:t>分</w:t>
            </w:r>
            <w:r>
              <w:rPr>
                <w:rFonts w:hint="eastAsia" w:ascii="宋体" w:hAnsi="宋体" w:cs="宋体"/>
                <w:bCs/>
                <w:color w:val="auto"/>
                <w:sz w:val="24"/>
                <w:highlight w:val="none"/>
              </w:rPr>
              <w:t>止（北京时间）</w:t>
            </w:r>
          </w:p>
          <w:p w14:paraId="7649F35F">
            <w:pPr>
              <w:keepNext w:val="0"/>
              <w:keepLines w:val="0"/>
              <w:pageBreakBefore w:val="0"/>
              <w:widowControl w:val="0"/>
              <w:kinsoku/>
              <w:wordWrap/>
              <w:overflowPunct/>
              <w:topLinePunct w:val="0"/>
              <w:autoSpaceDE/>
              <w:autoSpaceDN/>
              <w:bidi w:val="0"/>
              <w:adjustRightInd/>
              <w:snapToGrid/>
              <w:spacing w:line="320" w:lineRule="exact"/>
              <w:ind w:left="2916" w:leftChars="0" w:right="0" w:hanging="2916" w:hangingChars="1200"/>
              <w:textAlignment w:val="auto"/>
              <w:rPr>
                <w:rFonts w:hint="default" w:ascii="宋体" w:hAnsi="宋体" w:eastAsia="宋体" w:cs="宋体"/>
                <w:bCs/>
                <w:color w:val="auto"/>
                <w:sz w:val="24"/>
                <w:highlight w:val="none"/>
                <w:lang w:val="en-US" w:eastAsia="zh-CN"/>
              </w:rPr>
            </w:pPr>
            <w:r>
              <w:rPr>
                <w:rFonts w:hint="eastAsia" w:ascii="宋体" w:hAnsi="宋体" w:cs="宋体"/>
                <w:bCs/>
                <w:color w:val="auto"/>
                <w:sz w:val="24"/>
                <w:highlight w:val="none"/>
              </w:rPr>
              <w:t>磋商响应性文件递交地点：</w:t>
            </w:r>
            <w:r>
              <w:rPr>
                <w:rFonts w:hint="eastAsia" w:ascii="宋体" w:hAnsi="宋体" w:eastAsia="宋体" w:cs="宋体"/>
                <w:bCs/>
                <w:color w:val="auto"/>
                <w:sz w:val="24"/>
                <w:highlight w:val="none"/>
                <w:lang w:eastAsia="zh-CN"/>
              </w:rPr>
              <w:t>枝江市安福寺镇公共资源交易中心512室。</w:t>
            </w:r>
          </w:p>
          <w:p w14:paraId="05F4706C">
            <w:pPr>
              <w:keepNext w:val="0"/>
              <w:keepLines w:val="0"/>
              <w:pageBreakBefore w:val="0"/>
              <w:widowControl w:val="0"/>
              <w:kinsoku/>
              <w:wordWrap/>
              <w:overflowPunct/>
              <w:topLinePunct w:val="0"/>
              <w:autoSpaceDE/>
              <w:autoSpaceDN/>
              <w:bidi w:val="0"/>
              <w:adjustRightInd/>
              <w:snapToGrid/>
              <w:spacing w:line="320" w:lineRule="exact"/>
              <w:ind w:left="0" w:leftChars="0" w:right="0"/>
              <w:textAlignment w:val="auto"/>
              <w:rPr>
                <w:rFonts w:hint="eastAsia" w:ascii="宋体" w:hAnsi="宋体" w:eastAsia="宋体" w:cs="宋体"/>
                <w:bCs/>
                <w:color w:val="auto"/>
                <w:sz w:val="24"/>
                <w:highlight w:val="none"/>
                <w:lang w:eastAsia="zh-CN"/>
              </w:rPr>
            </w:pPr>
            <w:r>
              <w:rPr>
                <w:rFonts w:hint="eastAsia" w:ascii="宋体" w:hAnsi="宋体" w:cs="宋体"/>
                <w:bCs/>
                <w:color w:val="auto"/>
                <w:sz w:val="24"/>
                <w:highlight w:val="none"/>
              </w:rPr>
              <w:t>磋商响应性文件签收单位：</w:t>
            </w:r>
            <w:r>
              <w:rPr>
                <w:rFonts w:hint="eastAsia" w:ascii="宋体" w:hAnsi="宋体" w:cs="宋体"/>
                <w:bCs/>
                <w:color w:val="auto"/>
                <w:sz w:val="24"/>
                <w:highlight w:val="none"/>
                <w:lang w:eastAsia="zh-CN"/>
              </w:rPr>
              <w:t>湖北谨天工程咨询有限公司。</w:t>
            </w:r>
          </w:p>
        </w:tc>
      </w:tr>
      <w:tr w14:paraId="0393C87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63" w:hRule="exact"/>
        </w:trPr>
        <w:tc>
          <w:tcPr>
            <w:tcW w:w="744" w:type="dxa"/>
            <w:tcBorders>
              <w:top w:val="single" w:color="auto" w:sz="4" w:space="0"/>
              <w:left w:val="single" w:color="auto" w:sz="4" w:space="0"/>
              <w:bottom w:val="single" w:color="auto" w:sz="4" w:space="0"/>
              <w:right w:val="single" w:color="auto" w:sz="4" w:space="0"/>
            </w:tcBorders>
            <w:noWrap w:val="0"/>
            <w:vAlign w:val="center"/>
          </w:tcPr>
          <w:p w14:paraId="7E2376E0">
            <w:pPr>
              <w:keepNext w:val="0"/>
              <w:keepLines w:val="0"/>
              <w:pageBreakBefore w:val="0"/>
              <w:widowControl w:val="0"/>
              <w:kinsoku/>
              <w:wordWrap/>
              <w:overflowPunct/>
              <w:topLinePunct w:val="0"/>
              <w:autoSpaceDE/>
              <w:autoSpaceDN/>
              <w:bidi w:val="0"/>
              <w:adjustRightInd/>
              <w:snapToGrid/>
              <w:spacing w:line="320" w:lineRule="exact"/>
              <w:ind w:left="0" w:leftChars="0" w:right="0"/>
              <w:jc w:val="center"/>
              <w:textAlignment w:val="auto"/>
              <w:rPr>
                <w:rFonts w:hint="eastAsia" w:ascii="宋体" w:hAnsi="宋体" w:cs="宋体"/>
                <w:bCs/>
                <w:color w:val="auto"/>
                <w:sz w:val="24"/>
                <w:highlight w:val="none"/>
              </w:rPr>
            </w:pPr>
            <w:r>
              <w:rPr>
                <w:rFonts w:hint="eastAsia" w:ascii="宋体" w:hAnsi="宋体" w:cs="宋体"/>
                <w:bCs/>
                <w:color w:val="auto"/>
                <w:sz w:val="24"/>
                <w:highlight w:val="none"/>
              </w:rPr>
              <w:t>7</w:t>
            </w:r>
          </w:p>
        </w:tc>
        <w:tc>
          <w:tcPr>
            <w:tcW w:w="8915" w:type="dxa"/>
            <w:tcBorders>
              <w:top w:val="single" w:color="auto" w:sz="4" w:space="0"/>
              <w:left w:val="single" w:color="auto" w:sz="4" w:space="0"/>
              <w:bottom w:val="single" w:color="auto" w:sz="4" w:space="0"/>
              <w:right w:val="single" w:color="auto" w:sz="4" w:space="0"/>
            </w:tcBorders>
            <w:noWrap w:val="0"/>
            <w:vAlign w:val="center"/>
          </w:tcPr>
          <w:p w14:paraId="7F619C59">
            <w:pPr>
              <w:keepNext w:val="0"/>
              <w:keepLines w:val="0"/>
              <w:pageBreakBefore w:val="0"/>
              <w:widowControl w:val="0"/>
              <w:kinsoku/>
              <w:wordWrap/>
              <w:overflowPunct/>
              <w:topLinePunct w:val="0"/>
              <w:autoSpaceDE/>
              <w:autoSpaceDN/>
              <w:bidi w:val="0"/>
              <w:adjustRightInd/>
              <w:snapToGrid/>
              <w:spacing w:line="320" w:lineRule="exact"/>
              <w:ind w:left="0" w:leftChars="0" w:right="0"/>
              <w:textAlignment w:val="auto"/>
              <w:rPr>
                <w:rFonts w:hint="eastAsia" w:ascii="宋体" w:hAnsi="宋体" w:eastAsia="宋体" w:cs="宋体"/>
                <w:bCs/>
                <w:color w:val="auto"/>
                <w:sz w:val="24"/>
                <w:highlight w:val="none"/>
                <w:lang w:val="en-US" w:eastAsia="zh-CN"/>
              </w:rPr>
            </w:pPr>
            <w:r>
              <w:rPr>
                <w:rFonts w:hint="eastAsia" w:ascii="宋体" w:hAnsi="宋体" w:cs="宋体"/>
                <w:bCs/>
                <w:color w:val="auto"/>
                <w:sz w:val="24"/>
                <w:highlight w:val="none"/>
              </w:rPr>
              <w:t>磋商响应性文件签收截止时间：</w:t>
            </w:r>
            <w:r>
              <w:rPr>
                <w:rFonts w:hint="eastAsia" w:ascii="宋体" w:hAnsi="宋体" w:cs="宋体"/>
                <w:bCs/>
                <w:color w:val="auto"/>
                <w:sz w:val="24"/>
                <w:highlight w:val="none"/>
                <w:u w:val="single"/>
                <w:lang w:eastAsia="zh-CN"/>
              </w:rPr>
              <w:t>2026年</w:t>
            </w:r>
            <w:r>
              <w:rPr>
                <w:rFonts w:hint="eastAsia" w:ascii="宋体" w:hAnsi="宋体" w:cs="宋体"/>
                <w:bCs/>
                <w:color w:val="auto"/>
                <w:sz w:val="24"/>
                <w:highlight w:val="none"/>
                <w:u w:val="single"/>
                <w:lang w:val="en-US" w:eastAsia="zh-CN"/>
              </w:rPr>
              <w:t>5月21日9时30分</w:t>
            </w:r>
            <w:r>
              <w:rPr>
                <w:rFonts w:hint="eastAsia" w:ascii="宋体" w:hAnsi="宋体" w:cs="宋体"/>
                <w:bCs/>
                <w:color w:val="auto"/>
                <w:sz w:val="24"/>
                <w:highlight w:val="none"/>
              </w:rPr>
              <w:t>止</w:t>
            </w:r>
            <w:r>
              <w:rPr>
                <w:rFonts w:hint="eastAsia" w:ascii="宋体" w:hAnsi="宋体" w:cs="宋体"/>
                <w:bCs/>
                <w:color w:val="auto"/>
                <w:sz w:val="24"/>
                <w:highlight w:val="none"/>
                <w:lang w:eastAsia="zh-CN"/>
              </w:rPr>
              <w:t>。</w:t>
            </w:r>
          </w:p>
        </w:tc>
      </w:tr>
      <w:tr w14:paraId="1E65221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37" w:hRule="exact"/>
        </w:trPr>
        <w:tc>
          <w:tcPr>
            <w:tcW w:w="744" w:type="dxa"/>
            <w:tcBorders>
              <w:top w:val="single" w:color="auto" w:sz="4" w:space="0"/>
              <w:left w:val="single" w:color="auto" w:sz="4" w:space="0"/>
              <w:bottom w:val="single" w:color="auto" w:sz="4" w:space="0"/>
              <w:right w:val="single" w:color="auto" w:sz="4" w:space="0"/>
            </w:tcBorders>
            <w:noWrap w:val="0"/>
            <w:vAlign w:val="center"/>
          </w:tcPr>
          <w:p w14:paraId="10BD1517">
            <w:pPr>
              <w:keepNext w:val="0"/>
              <w:keepLines w:val="0"/>
              <w:pageBreakBefore w:val="0"/>
              <w:widowControl w:val="0"/>
              <w:kinsoku/>
              <w:wordWrap/>
              <w:overflowPunct/>
              <w:topLinePunct w:val="0"/>
              <w:autoSpaceDE/>
              <w:autoSpaceDN/>
              <w:bidi w:val="0"/>
              <w:adjustRightInd/>
              <w:snapToGrid/>
              <w:spacing w:line="320" w:lineRule="exact"/>
              <w:ind w:left="0" w:leftChars="0" w:right="0"/>
              <w:jc w:val="center"/>
              <w:textAlignment w:val="auto"/>
              <w:rPr>
                <w:rFonts w:hint="eastAsia" w:ascii="宋体" w:hAnsi="宋体" w:cs="宋体"/>
                <w:bCs/>
                <w:color w:val="auto"/>
                <w:sz w:val="24"/>
                <w:highlight w:val="none"/>
              </w:rPr>
            </w:pPr>
            <w:r>
              <w:rPr>
                <w:rFonts w:hint="eastAsia" w:ascii="宋体" w:hAnsi="宋体" w:cs="宋体"/>
                <w:bCs/>
                <w:color w:val="auto"/>
                <w:sz w:val="24"/>
                <w:highlight w:val="none"/>
              </w:rPr>
              <w:t>8</w:t>
            </w:r>
          </w:p>
        </w:tc>
        <w:tc>
          <w:tcPr>
            <w:tcW w:w="8915" w:type="dxa"/>
            <w:tcBorders>
              <w:top w:val="single" w:color="auto" w:sz="4" w:space="0"/>
              <w:left w:val="single" w:color="auto" w:sz="4" w:space="0"/>
              <w:bottom w:val="single" w:color="auto" w:sz="4" w:space="0"/>
              <w:right w:val="single" w:color="auto" w:sz="4" w:space="0"/>
            </w:tcBorders>
            <w:noWrap w:val="0"/>
            <w:vAlign w:val="center"/>
          </w:tcPr>
          <w:p w14:paraId="603E9E3A">
            <w:pPr>
              <w:keepNext w:val="0"/>
              <w:keepLines w:val="0"/>
              <w:pageBreakBefore w:val="0"/>
              <w:widowControl w:val="0"/>
              <w:kinsoku/>
              <w:wordWrap/>
              <w:overflowPunct/>
              <w:topLinePunct w:val="0"/>
              <w:autoSpaceDE/>
              <w:autoSpaceDN/>
              <w:bidi w:val="0"/>
              <w:adjustRightInd/>
              <w:snapToGrid/>
              <w:spacing w:line="320" w:lineRule="exact"/>
              <w:ind w:left="0" w:leftChars="0" w:right="0"/>
              <w:textAlignment w:val="auto"/>
              <w:rPr>
                <w:rFonts w:hint="eastAsia" w:ascii="宋体" w:hAnsi="宋体" w:cs="宋体"/>
                <w:bCs/>
                <w:color w:val="auto"/>
                <w:sz w:val="24"/>
                <w:highlight w:val="none"/>
              </w:rPr>
            </w:pPr>
            <w:r>
              <w:rPr>
                <w:rFonts w:hint="eastAsia" w:ascii="宋体" w:hAnsi="宋体" w:cs="宋体"/>
                <w:bCs/>
                <w:color w:val="auto"/>
                <w:sz w:val="24"/>
                <w:highlight w:val="none"/>
              </w:rPr>
              <w:t>本项目最高</w:t>
            </w:r>
            <w:r>
              <w:rPr>
                <w:rFonts w:hint="eastAsia" w:ascii="宋体" w:hAnsi="宋体" w:cs="宋体"/>
                <w:bCs/>
                <w:color w:val="auto"/>
                <w:sz w:val="24"/>
                <w:highlight w:val="none"/>
                <w:lang w:eastAsia="zh-CN"/>
              </w:rPr>
              <w:t>磋商</w:t>
            </w:r>
            <w:r>
              <w:rPr>
                <w:rFonts w:hint="eastAsia" w:ascii="宋体" w:hAnsi="宋体" w:cs="宋体"/>
                <w:bCs/>
                <w:color w:val="auto"/>
                <w:sz w:val="24"/>
                <w:highlight w:val="none"/>
              </w:rPr>
              <w:t>限价：</w:t>
            </w:r>
            <w:r>
              <w:rPr>
                <w:rFonts w:hint="eastAsia" w:ascii="宋体" w:hAnsi="宋体" w:cs="宋体"/>
                <w:bCs/>
                <w:color w:val="auto"/>
                <w:sz w:val="24"/>
                <w:highlight w:val="none"/>
                <w:lang w:val="en-US" w:eastAsia="zh-CN"/>
              </w:rPr>
              <w:t>330030.20元。</w:t>
            </w:r>
          </w:p>
        </w:tc>
      </w:tr>
      <w:tr w14:paraId="09CF6A7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75" w:hRule="exact"/>
        </w:trPr>
        <w:tc>
          <w:tcPr>
            <w:tcW w:w="744" w:type="dxa"/>
            <w:tcBorders>
              <w:top w:val="single" w:color="auto" w:sz="4" w:space="0"/>
              <w:left w:val="single" w:color="auto" w:sz="4" w:space="0"/>
              <w:bottom w:val="single" w:color="auto" w:sz="4" w:space="0"/>
              <w:right w:val="single" w:color="auto" w:sz="4" w:space="0"/>
            </w:tcBorders>
            <w:noWrap w:val="0"/>
            <w:vAlign w:val="center"/>
          </w:tcPr>
          <w:p w14:paraId="2AB80730">
            <w:pPr>
              <w:keepNext w:val="0"/>
              <w:keepLines w:val="0"/>
              <w:pageBreakBefore w:val="0"/>
              <w:widowControl w:val="0"/>
              <w:kinsoku/>
              <w:wordWrap/>
              <w:overflowPunct/>
              <w:topLinePunct w:val="0"/>
              <w:autoSpaceDE/>
              <w:autoSpaceDN/>
              <w:bidi w:val="0"/>
              <w:adjustRightInd/>
              <w:snapToGrid/>
              <w:spacing w:line="320" w:lineRule="exact"/>
              <w:ind w:left="0" w:leftChars="0" w:right="0"/>
              <w:jc w:val="center"/>
              <w:textAlignment w:val="auto"/>
              <w:rPr>
                <w:rFonts w:hint="eastAsia" w:ascii="宋体" w:hAnsi="宋体" w:eastAsia="宋体" w:cs="宋体"/>
                <w:bCs/>
                <w:color w:val="auto"/>
                <w:sz w:val="24"/>
                <w:highlight w:val="none"/>
                <w:lang w:val="en-US" w:eastAsia="zh-CN"/>
              </w:rPr>
            </w:pPr>
            <w:r>
              <w:rPr>
                <w:rFonts w:hint="eastAsia" w:ascii="宋体" w:hAnsi="宋体" w:cs="宋体"/>
                <w:bCs/>
                <w:color w:val="auto"/>
                <w:sz w:val="24"/>
                <w:highlight w:val="none"/>
                <w:lang w:val="en-US" w:eastAsia="zh-CN"/>
              </w:rPr>
              <w:t>9</w:t>
            </w:r>
          </w:p>
        </w:tc>
        <w:tc>
          <w:tcPr>
            <w:tcW w:w="8915" w:type="dxa"/>
            <w:tcBorders>
              <w:top w:val="single" w:color="auto" w:sz="4" w:space="0"/>
              <w:left w:val="single" w:color="auto" w:sz="4" w:space="0"/>
              <w:bottom w:val="single" w:color="auto" w:sz="4" w:space="0"/>
              <w:right w:val="single" w:color="auto" w:sz="4" w:space="0"/>
            </w:tcBorders>
            <w:noWrap w:val="0"/>
            <w:vAlign w:val="center"/>
          </w:tcPr>
          <w:p w14:paraId="2998E278">
            <w:pPr>
              <w:keepNext w:val="0"/>
              <w:keepLines w:val="0"/>
              <w:pageBreakBefore w:val="0"/>
              <w:widowControl w:val="0"/>
              <w:kinsoku/>
              <w:wordWrap/>
              <w:overflowPunct/>
              <w:topLinePunct w:val="0"/>
              <w:autoSpaceDE/>
              <w:autoSpaceDN/>
              <w:bidi w:val="0"/>
              <w:adjustRightInd/>
              <w:snapToGrid/>
              <w:spacing w:line="320" w:lineRule="exact"/>
              <w:ind w:left="0" w:leftChars="0" w:right="0"/>
              <w:textAlignment w:val="auto"/>
              <w:rPr>
                <w:rFonts w:hint="eastAsia" w:ascii="宋体" w:hAnsi="宋体" w:cs="宋体"/>
                <w:bCs/>
                <w:color w:val="auto"/>
                <w:sz w:val="24"/>
                <w:highlight w:val="none"/>
              </w:rPr>
            </w:pPr>
            <w:r>
              <w:rPr>
                <w:rFonts w:hint="eastAsia" w:ascii="宋体" w:hAnsi="宋体" w:cs="宋体"/>
                <w:bCs/>
                <w:color w:val="auto"/>
                <w:sz w:val="24"/>
                <w:highlight w:val="none"/>
              </w:rPr>
              <w:t>磋商小组的组建及确定方式：采购人或采购代理机构依法组建磋商小组共3人组成，其中专家评委</w:t>
            </w:r>
            <w:r>
              <w:rPr>
                <w:rFonts w:hint="eastAsia" w:ascii="宋体" w:hAnsi="宋体" w:cs="宋体"/>
                <w:bCs/>
                <w:color w:val="auto"/>
                <w:sz w:val="24"/>
                <w:highlight w:val="none"/>
                <w:lang w:val="en-US" w:eastAsia="zh-CN"/>
              </w:rPr>
              <w:t>3</w:t>
            </w:r>
            <w:r>
              <w:rPr>
                <w:rFonts w:hint="eastAsia" w:ascii="宋体" w:hAnsi="宋体" w:cs="宋体"/>
                <w:bCs/>
                <w:color w:val="auto"/>
                <w:sz w:val="24"/>
                <w:highlight w:val="none"/>
              </w:rPr>
              <w:t>人。</w:t>
            </w:r>
          </w:p>
        </w:tc>
      </w:tr>
      <w:tr w14:paraId="19D770B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2" w:hRule="exact"/>
        </w:trPr>
        <w:tc>
          <w:tcPr>
            <w:tcW w:w="744" w:type="dxa"/>
            <w:tcBorders>
              <w:top w:val="single" w:color="auto" w:sz="4" w:space="0"/>
              <w:left w:val="single" w:color="auto" w:sz="4" w:space="0"/>
              <w:bottom w:val="single" w:color="auto" w:sz="4" w:space="0"/>
              <w:right w:val="single" w:color="auto" w:sz="4" w:space="0"/>
            </w:tcBorders>
            <w:noWrap w:val="0"/>
            <w:vAlign w:val="center"/>
          </w:tcPr>
          <w:p w14:paraId="7D866120">
            <w:pPr>
              <w:keepNext w:val="0"/>
              <w:keepLines w:val="0"/>
              <w:pageBreakBefore w:val="0"/>
              <w:widowControl w:val="0"/>
              <w:kinsoku/>
              <w:wordWrap/>
              <w:overflowPunct/>
              <w:topLinePunct w:val="0"/>
              <w:autoSpaceDE/>
              <w:autoSpaceDN/>
              <w:bidi w:val="0"/>
              <w:adjustRightInd/>
              <w:snapToGrid/>
              <w:spacing w:line="320" w:lineRule="exact"/>
              <w:ind w:left="0" w:leftChars="0" w:right="0"/>
              <w:jc w:val="center"/>
              <w:textAlignment w:val="auto"/>
              <w:rPr>
                <w:rFonts w:hint="default" w:ascii="宋体" w:hAnsi="宋体" w:eastAsia="宋体" w:cs="宋体"/>
                <w:bCs/>
                <w:color w:val="auto"/>
                <w:sz w:val="24"/>
                <w:highlight w:val="none"/>
                <w:lang w:val="en-US" w:eastAsia="zh-CN"/>
              </w:rPr>
            </w:pPr>
            <w:r>
              <w:rPr>
                <w:rFonts w:hint="eastAsia" w:ascii="宋体" w:hAnsi="宋体" w:cs="宋体"/>
                <w:bCs/>
                <w:color w:val="auto"/>
                <w:sz w:val="24"/>
                <w:highlight w:val="none"/>
                <w:lang w:val="en-US" w:eastAsia="zh-CN"/>
              </w:rPr>
              <w:t>10</w:t>
            </w:r>
          </w:p>
        </w:tc>
        <w:tc>
          <w:tcPr>
            <w:tcW w:w="8915" w:type="dxa"/>
            <w:tcBorders>
              <w:top w:val="single" w:color="auto" w:sz="4" w:space="0"/>
              <w:left w:val="single" w:color="auto" w:sz="4" w:space="0"/>
              <w:bottom w:val="single" w:color="auto" w:sz="4" w:space="0"/>
              <w:right w:val="single" w:color="auto" w:sz="4" w:space="0"/>
            </w:tcBorders>
            <w:noWrap w:val="0"/>
            <w:vAlign w:val="center"/>
          </w:tcPr>
          <w:p w14:paraId="1BDC55D2">
            <w:pPr>
              <w:keepNext w:val="0"/>
              <w:keepLines w:val="0"/>
              <w:pageBreakBefore w:val="0"/>
              <w:widowControl w:val="0"/>
              <w:kinsoku/>
              <w:wordWrap/>
              <w:overflowPunct/>
              <w:topLinePunct w:val="0"/>
              <w:autoSpaceDE/>
              <w:autoSpaceDN/>
              <w:bidi w:val="0"/>
              <w:adjustRightInd/>
              <w:snapToGrid/>
              <w:spacing w:line="320" w:lineRule="exact"/>
              <w:ind w:left="0" w:leftChars="0" w:right="0"/>
              <w:textAlignment w:val="auto"/>
              <w:rPr>
                <w:rFonts w:hint="eastAsia" w:ascii="宋体" w:hAnsi="宋体" w:eastAsia="宋体" w:cs="宋体"/>
                <w:bCs/>
                <w:color w:val="auto"/>
                <w:sz w:val="24"/>
                <w:highlight w:val="none"/>
                <w:lang w:val="en-US" w:eastAsia="zh-CN"/>
              </w:rPr>
            </w:pPr>
            <w:r>
              <w:rPr>
                <w:rFonts w:hint="eastAsia" w:ascii="宋体" w:hAnsi="宋体" w:cs="宋体"/>
                <w:bCs/>
                <w:color w:val="auto"/>
                <w:sz w:val="24"/>
                <w:highlight w:val="none"/>
              </w:rPr>
              <w:t>资格后审：磋商小组审核</w:t>
            </w:r>
            <w:r>
              <w:rPr>
                <w:rFonts w:hint="eastAsia" w:ascii="宋体" w:hAnsi="宋体" w:cs="宋体"/>
                <w:bCs/>
                <w:color w:val="auto"/>
                <w:sz w:val="24"/>
                <w:highlight w:val="none"/>
                <w:lang w:eastAsia="zh-CN"/>
              </w:rPr>
              <w:t>。</w:t>
            </w:r>
          </w:p>
        </w:tc>
      </w:tr>
      <w:tr w14:paraId="0AE2CE5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209" w:hRule="atLeast"/>
        </w:trPr>
        <w:tc>
          <w:tcPr>
            <w:tcW w:w="744" w:type="dxa"/>
            <w:tcBorders>
              <w:top w:val="single" w:color="auto" w:sz="4" w:space="0"/>
              <w:left w:val="single" w:color="auto" w:sz="4" w:space="0"/>
              <w:bottom w:val="single" w:color="auto" w:sz="4" w:space="0"/>
              <w:right w:val="single" w:color="auto" w:sz="4" w:space="0"/>
            </w:tcBorders>
            <w:noWrap w:val="0"/>
            <w:vAlign w:val="center"/>
          </w:tcPr>
          <w:p w14:paraId="55A745D3">
            <w:pPr>
              <w:keepNext w:val="0"/>
              <w:keepLines w:val="0"/>
              <w:pageBreakBefore w:val="0"/>
              <w:widowControl w:val="0"/>
              <w:kinsoku/>
              <w:wordWrap/>
              <w:overflowPunct/>
              <w:topLinePunct w:val="0"/>
              <w:autoSpaceDE/>
              <w:autoSpaceDN/>
              <w:bidi w:val="0"/>
              <w:adjustRightInd/>
              <w:snapToGrid/>
              <w:spacing w:line="320" w:lineRule="exact"/>
              <w:ind w:left="0" w:leftChars="0" w:right="0"/>
              <w:jc w:val="center"/>
              <w:textAlignment w:val="auto"/>
              <w:rPr>
                <w:rFonts w:hint="default" w:ascii="宋体" w:hAnsi="宋体" w:cs="宋体"/>
                <w:bCs/>
                <w:color w:val="auto"/>
                <w:sz w:val="24"/>
                <w:highlight w:val="none"/>
                <w:lang w:val="en-US" w:eastAsia="zh-CN"/>
              </w:rPr>
            </w:pPr>
            <w:bookmarkStart w:id="4" w:name="_Toc32279"/>
            <w:bookmarkStart w:id="5" w:name="_Toc465324870"/>
            <w:r>
              <w:rPr>
                <w:rFonts w:hint="eastAsia" w:ascii="宋体" w:hAnsi="宋体" w:cs="宋体"/>
                <w:bCs/>
                <w:color w:val="auto"/>
                <w:sz w:val="24"/>
                <w:highlight w:val="none"/>
                <w:lang w:val="en-US" w:eastAsia="zh-CN"/>
              </w:rPr>
              <w:t>11</w:t>
            </w:r>
          </w:p>
        </w:tc>
        <w:tc>
          <w:tcPr>
            <w:tcW w:w="8915" w:type="dxa"/>
            <w:tcBorders>
              <w:top w:val="single" w:color="auto" w:sz="4" w:space="0"/>
              <w:left w:val="single" w:color="auto" w:sz="4" w:space="0"/>
              <w:bottom w:val="single" w:color="auto" w:sz="4" w:space="0"/>
              <w:right w:val="single" w:color="auto" w:sz="4" w:space="0"/>
            </w:tcBorders>
            <w:noWrap w:val="0"/>
            <w:vAlign w:val="center"/>
          </w:tcPr>
          <w:p w14:paraId="79441535">
            <w:pPr>
              <w:keepNext w:val="0"/>
              <w:keepLines w:val="0"/>
              <w:pageBreakBefore w:val="0"/>
              <w:widowControl w:val="0"/>
              <w:kinsoku/>
              <w:wordWrap/>
              <w:overflowPunct/>
              <w:topLinePunct w:val="0"/>
              <w:autoSpaceDE/>
              <w:autoSpaceDN/>
              <w:bidi w:val="0"/>
              <w:adjustRightInd/>
              <w:snapToGrid/>
              <w:spacing w:line="320" w:lineRule="exact"/>
              <w:ind w:left="0" w:leftChars="0" w:right="0"/>
              <w:textAlignment w:val="auto"/>
              <w:rPr>
                <w:rFonts w:hint="eastAsia" w:ascii="宋体" w:hAnsi="宋体" w:cs="宋体"/>
                <w:bCs/>
                <w:color w:val="auto"/>
                <w:sz w:val="24"/>
                <w:szCs w:val="24"/>
                <w:highlight w:val="none"/>
              </w:rPr>
            </w:pPr>
            <w:r>
              <w:rPr>
                <w:rFonts w:hint="eastAsia" w:ascii="宋体" w:hAnsi="宋体" w:cs="宋体"/>
                <w:bCs/>
                <w:color w:val="auto"/>
                <w:sz w:val="24"/>
                <w:szCs w:val="24"/>
                <w:highlight w:val="none"/>
              </w:rPr>
              <w:t>代理服务费：参照湖北省住房和城乡建设厅关于印发《湖北省招标代理服务收费参考标准（试行）》的通知鄂建文〔2023〕35号收费标准或代理合同中约定的金额，由成交单位在领取成交通知书前向采购代理单位一次性支付本次采购代理服务费</w:t>
            </w:r>
            <w:r>
              <w:rPr>
                <w:rFonts w:hint="eastAsia" w:ascii="宋体" w:hAnsi="宋体" w:cs="宋体"/>
                <w:bCs/>
                <w:color w:val="auto"/>
                <w:sz w:val="24"/>
                <w:szCs w:val="24"/>
                <w:highlight w:val="none"/>
                <w:lang w:val="en-US" w:eastAsia="zh-CN"/>
              </w:rPr>
              <w:t>5000.00</w:t>
            </w:r>
            <w:r>
              <w:rPr>
                <w:rFonts w:hint="eastAsia" w:ascii="宋体" w:hAnsi="宋体" w:cs="宋体"/>
                <w:bCs/>
                <w:color w:val="auto"/>
                <w:sz w:val="24"/>
                <w:szCs w:val="24"/>
                <w:highlight w:val="none"/>
              </w:rPr>
              <w:t>元。</w:t>
            </w:r>
          </w:p>
        </w:tc>
      </w:tr>
    </w:tbl>
    <w:p w14:paraId="044B3B37">
      <w:pPr>
        <w:pStyle w:val="2"/>
        <w:rPr>
          <w:rFonts w:hint="eastAsia" w:ascii="宋体" w:hAnsi="宋体" w:eastAsia="宋体" w:cs="宋体"/>
          <w:color w:val="auto"/>
          <w:highlight w:val="none"/>
        </w:rPr>
      </w:pPr>
      <w:bookmarkStart w:id="6" w:name="_Toc7416"/>
      <w:r>
        <w:rPr>
          <w:rFonts w:hint="eastAsia" w:ascii="宋体" w:hAnsi="宋体" w:eastAsia="宋体" w:cs="宋体"/>
          <w:color w:val="auto"/>
          <w:highlight w:val="none"/>
        </w:rPr>
        <w:t>前 附 表</w:t>
      </w:r>
      <w:bookmarkEnd w:id="4"/>
      <w:bookmarkEnd w:id="6"/>
    </w:p>
    <w:p w14:paraId="496DBC8F">
      <w:pPr>
        <w:pStyle w:val="2"/>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eastAsia="宋体" w:cs="宋体"/>
          <w:color w:val="auto"/>
          <w:sz w:val="36"/>
          <w:szCs w:val="36"/>
          <w:highlight w:val="none"/>
        </w:rPr>
      </w:pPr>
      <w:bookmarkStart w:id="7" w:name="_Toc23323"/>
      <w:bookmarkStart w:id="8" w:name="_Toc20628"/>
      <w:r>
        <w:rPr>
          <w:rFonts w:hint="eastAsia" w:ascii="宋体" w:hAnsi="宋体" w:eastAsia="宋体" w:cs="宋体"/>
          <w:color w:val="auto"/>
          <w:sz w:val="36"/>
          <w:szCs w:val="36"/>
          <w:highlight w:val="none"/>
          <w:lang w:eastAsia="zh-CN"/>
        </w:rPr>
        <w:t>第一章</w:t>
      </w:r>
      <w:r>
        <w:rPr>
          <w:rFonts w:hint="eastAsia" w:ascii="宋体" w:hAnsi="宋体" w:eastAsia="宋体" w:cs="宋体"/>
          <w:color w:val="auto"/>
          <w:sz w:val="36"/>
          <w:szCs w:val="36"/>
          <w:highlight w:val="none"/>
          <w:lang w:val="en-US" w:eastAsia="zh-CN"/>
        </w:rPr>
        <w:t xml:space="preserve"> </w:t>
      </w:r>
      <w:r>
        <w:rPr>
          <w:rFonts w:hint="eastAsia" w:ascii="宋体" w:hAnsi="宋体" w:eastAsia="宋体" w:cs="宋体"/>
          <w:color w:val="auto"/>
          <w:sz w:val="36"/>
          <w:szCs w:val="36"/>
          <w:highlight w:val="none"/>
        </w:rPr>
        <w:t>竞争性磋商公告</w:t>
      </w:r>
      <w:bookmarkEnd w:id="5"/>
      <w:bookmarkEnd w:id="7"/>
      <w:bookmarkEnd w:id="8"/>
    </w:p>
    <w:p w14:paraId="3CCFD819">
      <w:pPr>
        <w:pBdr>
          <w:top w:val="single" w:color="auto" w:sz="4" w:space="1"/>
          <w:left w:val="single" w:color="auto" w:sz="4" w:space="4"/>
          <w:bottom w:val="single" w:color="auto" w:sz="4" w:space="1"/>
          <w:right w:val="single" w:color="auto" w:sz="4" w:space="4"/>
        </w:pBdr>
        <w:spacing w:line="440" w:lineRule="exact"/>
        <w:rPr>
          <w:rFonts w:ascii="宋体" w:hAnsi="宋体"/>
          <w:sz w:val="28"/>
          <w:szCs w:val="28"/>
          <w:highlight w:val="none"/>
        </w:rPr>
      </w:pPr>
      <w:bookmarkStart w:id="9" w:name="EBc5d92a1216974de6973cbeb5c1060ef1"/>
      <w:bookmarkStart w:id="10" w:name="EBb52a180169ef4510acb3e7c0b696bd34"/>
      <w:bookmarkStart w:id="11" w:name="OLE_LINK2"/>
      <w:bookmarkStart w:id="12" w:name="OLE_LINK3"/>
      <w:bookmarkStart w:id="13" w:name="_Toc28890"/>
      <w:bookmarkStart w:id="14" w:name="_Toc465324871"/>
      <w:r>
        <w:rPr>
          <w:rFonts w:hint="eastAsia" w:ascii="宋体" w:hAnsi="宋体"/>
          <w:sz w:val="28"/>
          <w:szCs w:val="28"/>
          <w:highlight w:val="none"/>
        </w:rPr>
        <w:t>项目概况</w:t>
      </w:r>
    </w:p>
    <w:p w14:paraId="6956AA5E">
      <w:pPr>
        <w:pBdr>
          <w:top w:val="single" w:color="auto" w:sz="4" w:space="1"/>
          <w:left w:val="single" w:color="auto" w:sz="4" w:space="4"/>
          <w:bottom w:val="single" w:color="auto" w:sz="4" w:space="1"/>
          <w:right w:val="single" w:color="auto" w:sz="4" w:space="4"/>
        </w:pBdr>
        <w:spacing w:line="440" w:lineRule="exact"/>
        <w:ind w:firstLine="566" w:firstLineChars="200"/>
        <w:rPr>
          <w:rFonts w:ascii="宋体" w:hAnsi="宋体"/>
          <w:color w:val="auto"/>
          <w:sz w:val="28"/>
          <w:szCs w:val="28"/>
          <w:highlight w:val="none"/>
        </w:rPr>
      </w:pPr>
      <w:r>
        <w:rPr>
          <w:rFonts w:hint="eastAsia" w:ascii="宋体" w:hAnsi="宋体"/>
          <w:color w:val="auto"/>
          <w:sz w:val="28"/>
          <w:szCs w:val="28"/>
          <w:highlight w:val="none"/>
          <w:u w:val="single"/>
          <w:lang w:eastAsia="zh-CN"/>
        </w:rPr>
        <w:t>安福寺镇生活垃圾转运、无害化处理服务采购项目</w:t>
      </w:r>
      <w:r>
        <w:rPr>
          <w:rFonts w:hint="eastAsia" w:ascii="宋体" w:hAnsi="宋体"/>
          <w:color w:val="auto"/>
          <w:sz w:val="28"/>
          <w:szCs w:val="28"/>
          <w:highlight w:val="none"/>
        </w:rPr>
        <w:t>的潜在供应商应在</w:t>
      </w:r>
      <w:r>
        <w:rPr>
          <w:rFonts w:hint="eastAsia" w:ascii="宋体" w:hAnsi="宋体"/>
          <w:color w:val="auto"/>
          <w:sz w:val="28"/>
          <w:szCs w:val="28"/>
          <w:highlight w:val="none"/>
          <w:u w:val="single"/>
        </w:rPr>
        <w:t>枝江市安福寺镇政务公开网</w:t>
      </w:r>
      <w:r>
        <w:rPr>
          <w:rFonts w:hint="eastAsia" w:ascii="宋体" w:hAnsi="宋体"/>
          <w:color w:val="auto"/>
          <w:sz w:val="28"/>
          <w:szCs w:val="28"/>
          <w:highlight w:val="none"/>
        </w:rPr>
        <w:t>获取采购文件，并于</w:t>
      </w:r>
      <w:r>
        <w:rPr>
          <w:rFonts w:hint="eastAsia" w:ascii="宋体" w:hAnsi="宋体"/>
          <w:color w:val="auto"/>
          <w:sz w:val="28"/>
          <w:szCs w:val="28"/>
          <w:highlight w:val="none"/>
          <w:u w:val="single"/>
          <w:lang w:eastAsia="zh-CN"/>
        </w:rPr>
        <w:t>2026年</w:t>
      </w:r>
      <w:r>
        <w:rPr>
          <w:rFonts w:hint="eastAsia" w:ascii="宋体" w:hAnsi="宋体"/>
          <w:color w:val="auto"/>
          <w:sz w:val="28"/>
          <w:szCs w:val="28"/>
          <w:highlight w:val="none"/>
          <w:u w:val="single"/>
          <w:lang w:val="en-US" w:eastAsia="zh-CN"/>
        </w:rPr>
        <w:t>5月21日9时30分</w:t>
      </w:r>
      <w:r>
        <w:rPr>
          <w:rFonts w:hint="eastAsia" w:ascii="宋体" w:hAnsi="宋体"/>
          <w:bCs/>
          <w:color w:val="auto"/>
          <w:sz w:val="28"/>
          <w:szCs w:val="28"/>
          <w:highlight w:val="none"/>
        </w:rPr>
        <w:t>（北京时间，下同）前提交响应</w:t>
      </w:r>
      <w:r>
        <w:rPr>
          <w:rFonts w:ascii="宋体" w:hAnsi="宋体"/>
          <w:bCs/>
          <w:color w:val="auto"/>
          <w:sz w:val="28"/>
          <w:szCs w:val="28"/>
          <w:highlight w:val="none"/>
        </w:rPr>
        <w:t>文件</w:t>
      </w:r>
      <w:r>
        <w:rPr>
          <w:rFonts w:hint="eastAsia" w:ascii="宋体" w:hAnsi="宋体"/>
          <w:color w:val="auto"/>
          <w:sz w:val="28"/>
          <w:szCs w:val="28"/>
          <w:highlight w:val="none"/>
        </w:rPr>
        <w:t>。</w:t>
      </w:r>
    </w:p>
    <w:p w14:paraId="3AD967AD">
      <w:pPr>
        <w:spacing w:line="480" w:lineRule="exact"/>
        <w:ind w:firstLine="566" w:firstLineChars="200"/>
        <w:rPr>
          <w:rFonts w:ascii="宋体" w:hAnsi="宋体"/>
          <w:sz w:val="28"/>
          <w:szCs w:val="28"/>
          <w:highlight w:val="none"/>
        </w:rPr>
      </w:pPr>
      <w:bookmarkStart w:id="15" w:name="_Toc35393629"/>
      <w:bookmarkStart w:id="16" w:name="_Toc28359089"/>
      <w:bookmarkStart w:id="17" w:name="_Toc35393798"/>
      <w:bookmarkStart w:id="18" w:name="_Toc28359012"/>
      <w:r>
        <w:rPr>
          <w:rFonts w:hint="eastAsia" w:ascii="宋体" w:hAnsi="宋体"/>
          <w:sz w:val="28"/>
          <w:szCs w:val="28"/>
          <w:highlight w:val="none"/>
        </w:rPr>
        <w:t>一、项目基本情况</w:t>
      </w:r>
      <w:bookmarkEnd w:id="15"/>
      <w:bookmarkEnd w:id="16"/>
      <w:bookmarkEnd w:id="17"/>
      <w:bookmarkEnd w:id="18"/>
    </w:p>
    <w:p w14:paraId="58D1D6E6">
      <w:pPr>
        <w:spacing w:line="480" w:lineRule="exact"/>
        <w:ind w:firstLine="566" w:firstLineChars="200"/>
        <w:rPr>
          <w:rFonts w:hint="default" w:ascii="宋体" w:hAnsi="宋体" w:eastAsia="宋体"/>
          <w:color w:val="auto"/>
          <w:sz w:val="28"/>
          <w:szCs w:val="28"/>
          <w:highlight w:val="none"/>
          <w:lang w:val="en-US" w:eastAsia="zh-CN"/>
        </w:rPr>
      </w:pPr>
      <w:r>
        <w:rPr>
          <w:rFonts w:hint="eastAsia" w:ascii="宋体" w:hAnsi="宋体"/>
          <w:color w:val="auto"/>
          <w:sz w:val="28"/>
          <w:szCs w:val="28"/>
          <w:highlight w:val="none"/>
          <w:lang w:val="en-US" w:eastAsia="zh-CN"/>
        </w:rPr>
        <w:t>1.项目编号</w:t>
      </w:r>
      <w:r>
        <w:rPr>
          <w:rFonts w:hint="eastAsia" w:ascii="宋体" w:hAnsi="宋体"/>
          <w:color w:val="auto"/>
          <w:sz w:val="28"/>
          <w:szCs w:val="28"/>
          <w:highlight w:val="none"/>
        </w:rPr>
        <w:t>：</w:t>
      </w:r>
      <w:r>
        <w:rPr>
          <w:rFonts w:hint="eastAsia" w:ascii="宋体" w:hAnsi="宋体"/>
          <w:color w:val="auto"/>
          <w:sz w:val="28"/>
          <w:szCs w:val="28"/>
          <w:highlight w:val="none"/>
          <w:lang w:val="en-US" w:eastAsia="zh-CN"/>
        </w:rPr>
        <w:t>安采计备[2026]45号</w:t>
      </w:r>
    </w:p>
    <w:p w14:paraId="4A8D7A3B">
      <w:pPr>
        <w:spacing w:line="480" w:lineRule="exact"/>
        <w:ind w:firstLine="566" w:firstLineChars="200"/>
        <w:rPr>
          <w:rFonts w:hint="eastAsia" w:ascii="宋体" w:hAnsi="宋体" w:eastAsia="宋体"/>
          <w:sz w:val="28"/>
          <w:szCs w:val="28"/>
          <w:highlight w:val="none"/>
          <w:lang w:eastAsia="zh-CN"/>
        </w:rPr>
      </w:pPr>
      <w:r>
        <w:rPr>
          <w:rFonts w:hint="eastAsia" w:ascii="宋体" w:hAnsi="宋体"/>
          <w:sz w:val="28"/>
          <w:szCs w:val="28"/>
          <w:highlight w:val="none"/>
          <w:lang w:val="en-US" w:eastAsia="zh-CN"/>
        </w:rPr>
        <w:t>2.</w:t>
      </w:r>
      <w:r>
        <w:rPr>
          <w:rFonts w:hint="eastAsia" w:ascii="宋体" w:hAnsi="宋体"/>
          <w:sz w:val="28"/>
          <w:szCs w:val="28"/>
          <w:highlight w:val="none"/>
        </w:rPr>
        <w:t>项目名称：</w:t>
      </w:r>
      <w:r>
        <w:rPr>
          <w:rFonts w:hint="eastAsia" w:ascii="宋体" w:hAnsi="宋体"/>
          <w:sz w:val="28"/>
          <w:szCs w:val="28"/>
          <w:highlight w:val="none"/>
          <w:lang w:eastAsia="zh-CN"/>
        </w:rPr>
        <w:t>安福寺镇生活垃圾转运、无害化处理服务采购项目</w:t>
      </w:r>
    </w:p>
    <w:p w14:paraId="4ADBA262">
      <w:pPr>
        <w:spacing w:line="480" w:lineRule="exact"/>
        <w:ind w:firstLine="566" w:firstLineChars="200"/>
        <w:rPr>
          <w:rFonts w:ascii="宋体" w:hAnsi="宋体"/>
          <w:sz w:val="28"/>
          <w:szCs w:val="28"/>
          <w:highlight w:val="none"/>
        </w:rPr>
      </w:pPr>
      <w:r>
        <w:rPr>
          <w:rFonts w:hint="eastAsia" w:ascii="宋体" w:hAnsi="宋体"/>
          <w:sz w:val="28"/>
          <w:szCs w:val="28"/>
          <w:highlight w:val="none"/>
          <w:lang w:val="en-US" w:eastAsia="zh-CN"/>
        </w:rPr>
        <w:t>3.</w:t>
      </w:r>
      <w:r>
        <w:rPr>
          <w:rFonts w:hint="eastAsia" w:ascii="宋体" w:hAnsi="宋体"/>
          <w:sz w:val="28"/>
          <w:szCs w:val="28"/>
          <w:highlight w:val="none"/>
        </w:rPr>
        <w:t>采购方式：竞争性磋商</w:t>
      </w:r>
    </w:p>
    <w:p w14:paraId="5C039660">
      <w:pPr>
        <w:spacing w:line="480" w:lineRule="exact"/>
        <w:ind w:firstLine="566" w:firstLineChars="200"/>
        <w:rPr>
          <w:rFonts w:ascii="宋体" w:hAnsi="宋体"/>
          <w:color w:val="auto"/>
          <w:sz w:val="28"/>
          <w:szCs w:val="28"/>
          <w:highlight w:val="none"/>
        </w:rPr>
      </w:pPr>
      <w:r>
        <w:rPr>
          <w:rFonts w:hint="eastAsia" w:ascii="宋体" w:hAnsi="宋体"/>
          <w:color w:val="auto"/>
          <w:sz w:val="28"/>
          <w:szCs w:val="28"/>
          <w:highlight w:val="none"/>
          <w:lang w:val="en-US" w:eastAsia="zh-CN"/>
        </w:rPr>
        <w:t>4.</w:t>
      </w:r>
      <w:r>
        <w:rPr>
          <w:rFonts w:hint="eastAsia" w:ascii="宋体" w:hAnsi="宋体"/>
          <w:color w:val="auto"/>
          <w:sz w:val="28"/>
          <w:szCs w:val="28"/>
          <w:highlight w:val="none"/>
        </w:rPr>
        <w:t>最高限价：</w:t>
      </w:r>
      <w:r>
        <w:rPr>
          <w:rFonts w:hint="eastAsia" w:ascii="宋体" w:hAnsi="宋体"/>
          <w:color w:val="auto"/>
          <w:sz w:val="28"/>
          <w:szCs w:val="28"/>
          <w:highlight w:val="none"/>
          <w:lang w:val="en-US" w:eastAsia="zh-CN"/>
        </w:rPr>
        <w:t>330030.20元</w:t>
      </w:r>
    </w:p>
    <w:p w14:paraId="2A848E71">
      <w:pPr>
        <w:spacing w:line="480" w:lineRule="exact"/>
        <w:ind w:firstLine="566" w:firstLineChars="200"/>
        <w:rPr>
          <w:rFonts w:ascii="宋体" w:hAnsi="宋体"/>
          <w:color w:val="auto"/>
          <w:sz w:val="28"/>
          <w:szCs w:val="28"/>
          <w:highlight w:val="none"/>
        </w:rPr>
      </w:pPr>
      <w:r>
        <w:rPr>
          <w:rFonts w:hint="eastAsia" w:ascii="宋体" w:hAnsi="宋体"/>
          <w:color w:val="auto"/>
          <w:sz w:val="28"/>
          <w:szCs w:val="28"/>
          <w:highlight w:val="none"/>
          <w:lang w:val="en-US" w:eastAsia="zh-CN"/>
        </w:rPr>
        <w:t>5.</w:t>
      </w:r>
      <w:r>
        <w:rPr>
          <w:rFonts w:hint="eastAsia" w:ascii="宋体" w:hAnsi="宋体"/>
          <w:color w:val="auto"/>
          <w:sz w:val="28"/>
          <w:szCs w:val="28"/>
          <w:highlight w:val="none"/>
        </w:rPr>
        <w:t>采购需求：</w:t>
      </w:r>
      <w:r>
        <w:rPr>
          <w:rFonts w:hint="eastAsia" w:ascii="宋体" w:hAnsi="宋体"/>
          <w:color w:val="auto"/>
          <w:sz w:val="28"/>
          <w:szCs w:val="28"/>
          <w:highlight w:val="none"/>
          <w:lang w:val="en-US" w:eastAsia="zh-CN"/>
        </w:rPr>
        <w:t>安福寺镇生活垃圾需运往石宝山垃圾填埋场进行无害化处理。为确保镇域生活垃圾及时清运、处置，保障市容环境整洁，拟采购有资质的运输企业提供服务。（详见第三章采购需求）</w:t>
      </w:r>
    </w:p>
    <w:p w14:paraId="11E07AF3">
      <w:pPr>
        <w:spacing w:line="480" w:lineRule="exact"/>
        <w:ind w:firstLine="566" w:firstLineChars="200"/>
        <w:rPr>
          <w:rFonts w:ascii="宋体" w:hAnsi="宋体"/>
          <w:color w:val="auto"/>
          <w:sz w:val="28"/>
          <w:szCs w:val="28"/>
          <w:highlight w:val="none"/>
        </w:rPr>
      </w:pPr>
      <w:r>
        <w:rPr>
          <w:rFonts w:hint="eastAsia" w:ascii="宋体" w:hAnsi="宋体"/>
          <w:color w:val="auto"/>
          <w:sz w:val="28"/>
          <w:szCs w:val="28"/>
          <w:highlight w:val="none"/>
          <w:lang w:val="en-US" w:eastAsia="zh-CN"/>
        </w:rPr>
        <w:t>6.</w:t>
      </w:r>
      <w:r>
        <w:rPr>
          <w:rFonts w:hint="eastAsia" w:ascii="宋体" w:hAnsi="宋体"/>
          <w:color w:val="auto"/>
          <w:sz w:val="28"/>
          <w:szCs w:val="28"/>
          <w:highlight w:val="none"/>
        </w:rPr>
        <w:t>合同履行期限：</w:t>
      </w:r>
      <w:r>
        <w:rPr>
          <w:rFonts w:hint="eastAsia" w:ascii="宋体" w:hAnsi="宋体"/>
          <w:color w:val="auto"/>
          <w:sz w:val="28"/>
          <w:szCs w:val="28"/>
          <w:highlight w:val="none"/>
          <w:lang w:val="en-US" w:eastAsia="zh-CN"/>
        </w:rPr>
        <w:t>合同签订之日起一年。（合同期满后经采购人综合评价，满意度高、服务验收优秀可续签下一年度服务合同，最多续签两次，累计服务期限最长不超过三年。）</w:t>
      </w:r>
    </w:p>
    <w:p w14:paraId="1DC38168">
      <w:pPr>
        <w:spacing w:line="480" w:lineRule="exact"/>
        <w:ind w:firstLine="566" w:firstLineChars="200"/>
        <w:rPr>
          <w:rFonts w:hint="eastAsia" w:ascii="宋体" w:hAnsi="宋体"/>
          <w:sz w:val="28"/>
          <w:szCs w:val="28"/>
          <w:highlight w:val="none"/>
          <w:lang w:val="en-US" w:eastAsia="zh-CN"/>
        </w:rPr>
      </w:pPr>
      <w:bookmarkStart w:id="19" w:name="_Toc28359013"/>
      <w:bookmarkStart w:id="20" w:name="_Toc35393630"/>
      <w:bookmarkStart w:id="21" w:name="_Toc28359090"/>
      <w:bookmarkStart w:id="22" w:name="_Toc35393799"/>
      <w:r>
        <w:rPr>
          <w:rFonts w:hint="eastAsia" w:ascii="宋体" w:hAnsi="宋体"/>
          <w:sz w:val="28"/>
          <w:szCs w:val="28"/>
          <w:highlight w:val="none"/>
          <w:lang w:val="en-US" w:eastAsia="zh-CN"/>
        </w:rPr>
        <w:t>7.本项目(是/否)接受联合体投标:否</w:t>
      </w:r>
    </w:p>
    <w:p w14:paraId="1E182D59">
      <w:pPr>
        <w:spacing w:line="480" w:lineRule="exact"/>
        <w:ind w:firstLine="566" w:firstLineChars="200"/>
        <w:rPr>
          <w:rFonts w:hint="eastAsia" w:ascii="宋体" w:hAnsi="宋体"/>
          <w:sz w:val="28"/>
          <w:szCs w:val="28"/>
          <w:highlight w:val="none"/>
          <w:lang w:val="en-US" w:eastAsia="zh-CN"/>
        </w:rPr>
      </w:pPr>
      <w:r>
        <w:rPr>
          <w:rFonts w:hint="eastAsia" w:ascii="宋体" w:hAnsi="宋体"/>
          <w:sz w:val="28"/>
          <w:szCs w:val="28"/>
          <w:highlight w:val="none"/>
          <w:lang w:val="en-US" w:eastAsia="zh-CN"/>
        </w:rPr>
        <w:t>8.是否可采购进口产品:否</w:t>
      </w:r>
    </w:p>
    <w:p w14:paraId="4CBC9756">
      <w:pPr>
        <w:spacing w:line="480" w:lineRule="exact"/>
        <w:ind w:firstLine="566" w:firstLineChars="200"/>
        <w:rPr>
          <w:rFonts w:hint="eastAsia" w:ascii="宋体" w:hAnsi="宋体"/>
          <w:sz w:val="28"/>
          <w:szCs w:val="28"/>
          <w:highlight w:val="none"/>
          <w:lang w:val="en-US" w:eastAsia="zh-CN"/>
        </w:rPr>
      </w:pPr>
      <w:r>
        <w:rPr>
          <w:rFonts w:hint="eastAsia" w:ascii="宋体" w:hAnsi="宋体"/>
          <w:sz w:val="28"/>
          <w:szCs w:val="28"/>
          <w:highlight w:val="none"/>
          <w:lang w:val="en-US" w:eastAsia="zh-CN"/>
        </w:rPr>
        <w:t>9.本项目(是/否)专门面向中小微企业:是</w:t>
      </w:r>
    </w:p>
    <w:p w14:paraId="7ECB7E5F">
      <w:pPr>
        <w:spacing w:line="480" w:lineRule="exact"/>
        <w:ind w:firstLine="566" w:firstLineChars="200"/>
        <w:rPr>
          <w:rFonts w:ascii="宋体" w:hAnsi="宋体"/>
          <w:sz w:val="28"/>
          <w:szCs w:val="28"/>
          <w:highlight w:val="none"/>
        </w:rPr>
      </w:pPr>
      <w:r>
        <w:rPr>
          <w:rFonts w:hint="eastAsia" w:ascii="宋体" w:hAnsi="宋体"/>
          <w:sz w:val="28"/>
          <w:szCs w:val="28"/>
          <w:highlight w:val="none"/>
        </w:rPr>
        <w:t>二、供应商的资格要求：</w:t>
      </w:r>
      <w:bookmarkEnd w:id="19"/>
      <w:bookmarkEnd w:id="20"/>
      <w:bookmarkEnd w:id="21"/>
      <w:bookmarkEnd w:id="22"/>
      <w:bookmarkStart w:id="23" w:name="_Toc28359014"/>
      <w:bookmarkStart w:id="24" w:name="_Toc28359091"/>
    </w:p>
    <w:p w14:paraId="46B33D19">
      <w:pPr>
        <w:spacing w:line="480" w:lineRule="exact"/>
        <w:ind w:firstLine="566" w:firstLineChars="200"/>
        <w:rPr>
          <w:rFonts w:ascii="宋体" w:hAnsi="宋体"/>
          <w:sz w:val="28"/>
          <w:szCs w:val="28"/>
          <w:highlight w:val="none"/>
        </w:rPr>
      </w:pPr>
      <w:r>
        <w:rPr>
          <w:rFonts w:hint="eastAsia" w:ascii="宋体" w:hAnsi="宋体"/>
          <w:sz w:val="28"/>
          <w:szCs w:val="28"/>
          <w:highlight w:val="none"/>
        </w:rPr>
        <w:t>1</w:t>
      </w:r>
      <w:r>
        <w:rPr>
          <w:rFonts w:hint="eastAsia" w:ascii="宋体" w:hAnsi="宋体"/>
          <w:sz w:val="28"/>
          <w:szCs w:val="28"/>
          <w:highlight w:val="none"/>
          <w:lang w:val="en-US" w:eastAsia="zh-CN"/>
        </w:rPr>
        <w:t>.</w:t>
      </w:r>
      <w:r>
        <w:rPr>
          <w:rFonts w:hint="eastAsia" w:ascii="宋体" w:hAnsi="宋体"/>
          <w:sz w:val="28"/>
          <w:szCs w:val="28"/>
          <w:highlight w:val="none"/>
        </w:rPr>
        <w:t>满足《中华人民共和国政府采购法》第二十二条规定，即；</w:t>
      </w:r>
    </w:p>
    <w:p w14:paraId="7E7DCF45">
      <w:pPr>
        <w:spacing w:line="480" w:lineRule="exact"/>
        <w:ind w:firstLine="566" w:firstLineChars="200"/>
        <w:rPr>
          <w:rFonts w:ascii="宋体" w:hAnsi="宋体"/>
          <w:sz w:val="28"/>
          <w:szCs w:val="28"/>
          <w:highlight w:val="none"/>
        </w:rPr>
      </w:pPr>
      <w:r>
        <w:rPr>
          <w:rFonts w:hint="eastAsia" w:ascii="宋体" w:hAnsi="宋体"/>
          <w:sz w:val="28"/>
          <w:szCs w:val="28"/>
          <w:highlight w:val="none"/>
        </w:rPr>
        <w:t>（1）具有独立承担民事责任的能力；</w:t>
      </w:r>
    </w:p>
    <w:p w14:paraId="46BC78BA">
      <w:pPr>
        <w:spacing w:line="480" w:lineRule="exact"/>
        <w:ind w:firstLine="566" w:firstLineChars="200"/>
        <w:rPr>
          <w:rFonts w:ascii="宋体" w:hAnsi="宋体"/>
          <w:sz w:val="28"/>
          <w:szCs w:val="28"/>
          <w:highlight w:val="none"/>
        </w:rPr>
      </w:pPr>
      <w:r>
        <w:rPr>
          <w:rFonts w:hint="eastAsia" w:ascii="宋体" w:hAnsi="宋体"/>
          <w:sz w:val="28"/>
          <w:szCs w:val="28"/>
          <w:highlight w:val="none"/>
        </w:rPr>
        <w:t>（2）具有良好的商业信誉和健全的财务会计制度；</w:t>
      </w:r>
    </w:p>
    <w:p w14:paraId="7359E57B">
      <w:pPr>
        <w:spacing w:line="480" w:lineRule="exact"/>
        <w:ind w:firstLine="566" w:firstLineChars="200"/>
        <w:rPr>
          <w:rFonts w:ascii="宋体" w:hAnsi="宋体"/>
          <w:sz w:val="28"/>
          <w:szCs w:val="28"/>
          <w:highlight w:val="none"/>
        </w:rPr>
      </w:pPr>
      <w:r>
        <w:rPr>
          <w:rFonts w:hint="eastAsia" w:ascii="宋体" w:hAnsi="宋体"/>
          <w:sz w:val="28"/>
          <w:szCs w:val="28"/>
          <w:highlight w:val="none"/>
        </w:rPr>
        <w:t>（3）具有履行合同所必需的设备和专业技术能力；</w:t>
      </w:r>
    </w:p>
    <w:p w14:paraId="11AD54BC">
      <w:pPr>
        <w:spacing w:line="480" w:lineRule="exact"/>
        <w:ind w:firstLine="566" w:firstLineChars="200"/>
        <w:rPr>
          <w:rFonts w:ascii="宋体" w:hAnsi="宋体"/>
          <w:sz w:val="28"/>
          <w:szCs w:val="28"/>
          <w:highlight w:val="none"/>
        </w:rPr>
      </w:pPr>
      <w:r>
        <w:rPr>
          <w:rFonts w:hint="eastAsia" w:ascii="宋体" w:hAnsi="宋体"/>
          <w:sz w:val="28"/>
          <w:szCs w:val="28"/>
          <w:highlight w:val="none"/>
        </w:rPr>
        <w:t>（4）有依法缴纳税收和社会保障资金的良好记录；</w:t>
      </w:r>
    </w:p>
    <w:p w14:paraId="7F8B36E4">
      <w:pPr>
        <w:spacing w:line="480" w:lineRule="exact"/>
        <w:ind w:firstLine="566" w:firstLineChars="200"/>
        <w:rPr>
          <w:rFonts w:ascii="宋体" w:hAnsi="宋体"/>
          <w:sz w:val="28"/>
          <w:szCs w:val="28"/>
          <w:highlight w:val="none"/>
        </w:rPr>
      </w:pPr>
      <w:r>
        <w:rPr>
          <w:rFonts w:hint="eastAsia" w:ascii="宋体" w:hAnsi="宋体"/>
          <w:sz w:val="28"/>
          <w:szCs w:val="28"/>
          <w:highlight w:val="none"/>
        </w:rPr>
        <w:t>（5）参加政府采购活动前三年内，在经营活动中没有重大违法记录；</w:t>
      </w:r>
    </w:p>
    <w:p w14:paraId="16CB8518">
      <w:pPr>
        <w:spacing w:line="480" w:lineRule="exact"/>
        <w:ind w:firstLine="566" w:firstLineChars="200"/>
        <w:rPr>
          <w:rFonts w:ascii="宋体" w:hAnsi="宋体"/>
          <w:sz w:val="28"/>
          <w:szCs w:val="28"/>
          <w:highlight w:val="none"/>
        </w:rPr>
      </w:pPr>
      <w:r>
        <w:rPr>
          <w:rFonts w:hint="eastAsia" w:ascii="宋体" w:hAnsi="宋体"/>
          <w:sz w:val="28"/>
          <w:szCs w:val="28"/>
          <w:highlight w:val="none"/>
        </w:rPr>
        <w:t>（6）法律、行政法规规定的其他条件。</w:t>
      </w:r>
    </w:p>
    <w:p w14:paraId="62DD7962">
      <w:pPr>
        <w:spacing w:line="480" w:lineRule="exact"/>
        <w:ind w:firstLine="566" w:firstLineChars="200"/>
        <w:rPr>
          <w:rFonts w:ascii="宋体" w:hAnsi="宋体"/>
          <w:sz w:val="28"/>
          <w:szCs w:val="28"/>
          <w:highlight w:val="none"/>
        </w:rPr>
      </w:pPr>
      <w:r>
        <w:rPr>
          <w:rFonts w:hint="eastAsia" w:ascii="宋体" w:hAnsi="宋体"/>
          <w:sz w:val="28"/>
          <w:szCs w:val="28"/>
          <w:highlight w:val="none"/>
        </w:rPr>
        <w:t>2</w:t>
      </w:r>
      <w:r>
        <w:rPr>
          <w:rFonts w:hint="eastAsia" w:ascii="宋体" w:hAnsi="宋体"/>
          <w:sz w:val="28"/>
          <w:szCs w:val="28"/>
          <w:highlight w:val="none"/>
          <w:lang w:val="en-US" w:eastAsia="zh-CN"/>
        </w:rPr>
        <w:t>.</w:t>
      </w:r>
      <w:r>
        <w:rPr>
          <w:rFonts w:hint="eastAsia" w:ascii="宋体" w:hAnsi="宋体"/>
          <w:sz w:val="28"/>
          <w:szCs w:val="28"/>
          <w:highlight w:val="none"/>
        </w:rPr>
        <w:t>单位负责人为同一人或者存在直接控股、管理关系的不同投标人（供应商），不得参加本项目同一合同项下的政府采购活动。</w:t>
      </w:r>
    </w:p>
    <w:p w14:paraId="08E25486">
      <w:pPr>
        <w:spacing w:line="480" w:lineRule="exact"/>
        <w:ind w:firstLine="566" w:firstLineChars="200"/>
        <w:rPr>
          <w:rFonts w:ascii="宋体" w:hAnsi="宋体"/>
          <w:sz w:val="28"/>
          <w:szCs w:val="28"/>
          <w:highlight w:val="none"/>
        </w:rPr>
      </w:pPr>
      <w:r>
        <w:rPr>
          <w:rFonts w:hint="eastAsia" w:ascii="宋体" w:hAnsi="宋体"/>
          <w:sz w:val="28"/>
          <w:szCs w:val="28"/>
          <w:highlight w:val="none"/>
        </w:rPr>
        <w:t>3</w:t>
      </w:r>
      <w:r>
        <w:rPr>
          <w:rFonts w:hint="eastAsia" w:ascii="宋体" w:hAnsi="宋体"/>
          <w:sz w:val="28"/>
          <w:szCs w:val="28"/>
          <w:highlight w:val="none"/>
          <w:lang w:val="en-US" w:eastAsia="zh-CN"/>
        </w:rPr>
        <w:t>.</w:t>
      </w:r>
      <w:r>
        <w:rPr>
          <w:rFonts w:hint="eastAsia" w:ascii="宋体" w:hAnsi="宋体"/>
          <w:sz w:val="28"/>
          <w:szCs w:val="28"/>
          <w:highlight w:val="none"/>
        </w:rPr>
        <w:t>为本采购项目提供整体设计、规范编制或者项目管理、监理、检测等服务的，不得再参加本项目的其他招标采购活动。</w:t>
      </w:r>
    </w:p>
    <w:p w14:paraId="656AD591">
      <w:pPr>
        <w:spacing w:line="480" w:lineRule="exact"/>
        <w:ind w:firstLine="566" w:firstLineChars="200"/>
        <w:rPr>
          <w:rFonts w:ascii="宋体" w:hAnsi="宋体"/>
          <w:sz w:val="28"/>
          <w:szCs w:val="28"/>
          <w:highlight w:val="none"/>
        </w:rPr>
      </w:pPr>
      <w:r>
        <w:rPr>
          <w:rFonts w:hint="eastAsia" w:ascii="宋体" w:hAnsi="宋体"/>
          <w:sz w:val="28"/>
          <w:szCs w:val="28"/>
          <w:highlight w:val="none"/>
        </w:rPr>
        <w:t>4</w:t>
      </w:r>
      <w:r>
        <w:rPr>
          <w:rFonts w:hint="eastAsia" w:ascii="宋体" w:hAnsi="宋体"/>
          <w:sz w:val="28"/>
          <w:szCs w:val="28"/>
          <w:highlight w:val="none"/>
          <w:lang w:val="en-US" w:eastAsia="zh-CN"/>
        </w:rPr>
        <w:t>.</w:t>
      </w:r>
      <w:r>
        <w:rPr>
          <w:rFonts w:hint="eastAsia" w:ascii="宋体" w:hAnsi="宋体"/>
          <w:sz w:val="28"/>
          <w:szCs w:val="28"/>
          <w:highlight w:val="none"/>
        </w:rPr>
        <w:t>未被列入失信被执行人、重大税收违法案件当事人名单，未被列入政府采购严重违法失信行为记录名单。</w:t>
      </w:r>
    </w:p>
    <w:p w14:paraId="42ED8596">
      <w:pPr>
        <w:spacing w:line="480" w:lineRule="exact"/>
        <w:ind w:firstLine="566" w:firstLineChars="200"/>
        <w:rPr>
          <w:rFonts w:ascii="宋体" w:hAnsi="宋体"/>
          <w:sz w:val="28"/>
          <w:szCs w:val="28"/>
          <w:highlight w:val="none"/>
        </w:rPr>
      </w:pPr>
      <w:r>
        <w:rPr>
          <w:rFonts w:hint="eastAsia" w:ascii="宋体" w:hAnsi="宋体"/>
          <w:sz w:val="28"/>
          <w:szCs w:val="28"/>
          <w:highlight w:val="none"/>
        </w:rPr>
        <w:t>5</w:t>
      </w:r>
      <w:r>
        <w:rPr>
          <w:rFonts w:hint="eastAsia" w:ascii="宋体" w:hAnsi="宋体"/>
          <w:sz w:val="28"/>
          <w:szCs w:val="28"/>
          <w:highlight w:val="none"/>
          <w:lang w:val="en-US" w:eastAsia="zh-CN"/>
        </w:rPr>
        <w:t>.</w:t>
      </w:r>
      <w:r>
        <w:rPr>
          <w:rFonts w:hint="eastAsia" w:ascii="宋体" w:hAnsi="宋体"/>
          <w:sz w:val="28"/>
          <w:szCs w:val="28"/>
          <w:highlight w:val="none"/>
        </w:rPr>
        <w:t>落实政府采购政策需满足的资格要求：</w:t>
      </w:r>
      <w:r>
        <w:rPr>
          <w:rFonts w:ascii="宋体" w:hAnsi="宋体"/>
          <w:sz w:val="28"/>
          <w:szCs w:val="28"/>
          <w:highlight w:val="none"/>
        </w:rPr>
        <w:t>本项目落实《政府采购促进中小企业发展管理办法》（财库〔2020〕46号）文件精神，为专门面向中小微企业采购项目，依据国务院批准的中小企业划分标准，供应商应为中型企业、小型企业或微型企业。</w:t>
      </w:r>
    </w:p>
    <w:p w14:paraId="10550C91">
      <w:pPr>
        <w:pStyle w:val="20"/>
        <w:keepNext w:val="0"/>
        <w:keepLines w:val="0"/>
        <w:pageBreakBefore w:val="0"/>
        <w:widowControl/>
        <w:kinsoku/>
        <w:wordWrap/>
        <w:overflowPunct/>
        <w:topLinePunct w:val="0"/>
        <w:autoSpaceDE/>
        <w:autoSpaceDN/>
        <w:bidi w:val="0"/>
        <w:adjustRightInd/>
        <w:spacing w:line="500" w:lineRule="exact"/>
        <w:ind w:left="0" w:firstLine="566" w:firstLineChars="200"/>
        <w:textAlignment w:val="auto"/>
        <w:outlineLvl w:val="9"/>
        <w:rPr>
          <w:rFonts w:hint="eastAsia" w:ascii="宋体" w:hAnsi="宋体" w:eastAsia="宋体" w:cs="宋体"/>
          <w:color w:val="auto"/>
          <w:kern w:val="0"/>
          <w:sz w:val="28"/>
          <w:szCs w:val="28"/>
          <w:highlight w:val="none"/>
          <w:lang w:val="en-US" w:eastAsia="zh-CN"/>
        </w:rPr>
      </w:pPr>
      <w:r>
        <w:rPr>
          <w:rFonts w:hint="eastAsia" w:ascii="宋体" w:hAnsi="宋体" w:eastAsia="宋体" w:cs="宋体"/>
          <w:color w:val="auto"/>
          <w:kern w:val="0"/>
          <w:sz w:val="28"/>
          <w:szCs w:val="28"/>
          <w:highlight w:val="none"/>
          <w:lang w:val="en-US" w:eastAsia="zh-CN"/>
        </w:rPr>
        <w:t>6.本项目的特定资格要求：具备主管部门颁发的</w:t>
      </w:r>
      <w:r>
        <w:rPr>
          <w:rFonts w:hint="eastAsia" w:ascii="宋体" w:hAnsi="宋体" w:cs="宋体"/>
          <w:color w:val="auto"/>
          <w:kern w:val="0"/>
          <w:sz w:val="28"/>
          <w:szCs w:val="28"/>
          <w:highlight w:val="none"/>
          <w:lang w:val="en-US" w:eastAsia="zh-CN"/>
        </w:rPr>
        <w:t>有效的</w:t>
      </w:r>
      <w:r>
        <w:rPr>
          <w:rFonts w:hint="eastAsia" w:ascii="宋体" w:hAnsi="宋体" w:eastAsia="宋体" w:cs="宋体"/>
          <w:color w:val="auto"/>
          <w:kern w:val="0"/>
          <w:sz w:val="28"/>
          <w:szCs w:val="28"/>
          <w:highlight w:val="none"/>
          <w:lang w:val="en-US" w:eastAsia="zh-CN"/>
        </w:rPr>
        <w:t>《城市生活垃圾经营性清扫、收集、运输服务许可证》或《城市生活垃圾经营性处置服务许可证》。（提供证书复印件加盖供应商公章）</w:t>
      </w:r>
    </w:p>
    <w:bookmarkEnd w:id="23"/>
    <w:bookmarkEnd w:id="24"/>
    <w:p w14:paraId="0A12BD32">
      <w:pPr>
        <w:keepNext w:val="0"/>
        <w:keepLines w:val="0"/>
        <w:pageBreakBefore w:val="0"/>
        <w:widowControl w:val="0"/>
        <w:kinsoku/>
        <w:wordWrap/>
        <w:overflowPunct/>
        <w:topLinePunct w:val="0"/>
        <w:autoSpaceDE/>
        <w:autoSpaceDN/>
        <w:bidi w:val="0"/>
        <w:adjustRightInd/>
        <w:snapToGrid/>
        <w:spacing w:line="500" w:lineRule="exact"/>
        <w:ind w:firstLine="566" w:firstLineChars="200"/>
        <w:textAlignment w:val="auto"/>
        <w:rPr>
          <w:rFonts w:hint="eastAsia" w:ascii="宋体" w:hAnsi="宋体"/>
          <w:sz w:val="28"/>
          <w:szCs w:val="28"/>
          <w:highlight w:val="none"/>
        </w:rPr>
      </w:pPr>
      <w:bookmarkStart w:id="25" w:name="_Toc35393631"/>
      <w:bookmarkStart w:id="26" w:name="_Toc35393800"/>
      <w:r>
        <w:rPr>
          <w:rFonts w:hint="eastAsia" w:ascii="宋体" w:hAnsi="宋体"/>
          <w:sz w:val="28"/>
          <w:szCs w:val="28"/>
          <w:highlight w:val="none"/>
        </w:rPr>
        <w:t>7</w:t>
      </w:r>
      <w:r>
        <w:rPr>
          <w:rFonts w:hint="eastAsia" w:ascii="宋体" w:hAnsi="宋体"/>
          <w:sz w:val="28"/>
          <w:szCs w:val="28"/>
          <w:highlight w:val="none"/>
          <w:lang w:eastAsia="zh-CN"/>
        </w:rPr>
        <w:t>.</w:t>
      </w:r>
      <w:r>
        <w:rPr>
          <w:rFonts w:hint="eastAsia" w:ascii="宋体" w:hAnsi="宋体"/>
          <w:sz w:val="28"/>
          <w:szCs w:val="28"/>
          <w:highlight w:val="none"/>
        </w:rPr>
        <w:t>本项目不接受联合体。</w:t>
      </w:r>
    </w:p>
    <w:p w14:paraId="7FF2E81F">
      <w:pPr>
        <w:keepNext w:val="0"/>
        <w:keepLines w:val="0"/>
        <w:pageBreakBefore w:val="0"/>
        <w:widowControl w:val="0"/>
        <w:kinsoku/>
        <w:wordWrap/>
        <w:overflowPunct/>
        <w:topLinePunct w:val="0"/>
        <w:autoSpaceDE/>
        <w:autoSpaceDN/>
        <w:bidi w:val="0"/>
        <w:adjustRightInd/>
        <w:snapToGrid/>
        <w:spacing w:line="500" w:lineRule="exact"/>
        <w:ind w:firstLine="566" w:firstLineChars="200"/>
        <w:textAlignment w:val="auto"/>
        <w:rPr>
          <w:rFonts w:hint="eastAsia" w:ascii="宋体" w:hAnsi="宋体"/>
          <w:sz w:val="28"/>
          <w:szCs w:val="28"/>
          <w:highlight w:val="none"/>
        </w:rPr>
      </w:pPr>
      <w:r>
        <w:rPr>
          <w:rFonts w:hint="eastAsia" w:ascii="宋体" w:hAnsi="宋体"/>
          <w:sz w:val="28"/>
          <w:szCs w:val="28"/>
          <w:highlight w:val="none"/>
        </w:rPr>
        <w:t>注：只有符合以上要求的供应商才能通过资格审查。</w:t>
      </w:r>
    </w:p>
    <w:p w14:paraId="5FF1A250">
      <w:pPr>
        <w:spacing w:line="480" w:lineRule="exact"/>
        <w:ind w:firstLine="566" w:firstLineChars="200"/>
        <w:rPr>
          <w:rFonts w:ascii="宋体" w:hAnsi="宋体"/>
          <w:sz w:val="28"/>
          <w:szCs w:val="28"/>
          <w:highlight w:val="none"/>
        </w:rPr>
      </w:pPr>
      <w:r>
        <w:rPr>
          <w:rFonts w:hint="eastAsia" w:ascii="宋体" w:hAnsi="宋体"/>
          <w:sz w:val="28"/>
          <w:szCs w:val="28"/>
          <w:highlight w:val="none"/>
        </w:rPr>
        <w:t>三、获取采购文件</w:t>
      </w:r>
      <w:bookmarkEnd w:id="25"/>
      <w:bookmarkEnd w:id="26"/>
    </w:p>
    <w:p w14:paraId="12196769">
      <w:pPr>
        <w:spacing w:line="480" w:lineRule="exact"/>
        <w:ind w:firstLine="566" w:firstLineChars="200"/>
        <w:rPr>
          <w:rFonts w:hint="eastAsia" w:ascii="宋体" w:hAnsi="宋体"/>
          <w:color w:val="auto"/>
          <w:sz w:val="28"/>
          <w:szCs w:val="28"/>
          <w:highlight w:val="none"/>
        </w:rPr>
      </w:pPr>
      <w:r>
        <w:rPr>
          <w:rFonts w:hint="eastAsia" w:ascii="宋体" w:hAnsi="宋体"/>
          <w:color w:val="auto"/>
          <w:sz w:val="28"/>
          <w:szCs w:val="28"/>
          <w:highlight w:val="none"/>
          <w:lang w:val="en-US" w:eastAsia="zh-CN"/>
        </w:rPr>
        <w:t>1.</w:t>
      </w:r>
      <w:r>
        <w:rPr>
          <w:rFonts w:hint="eastAsia" w:ascii="宋体" w:hAnsi="宋体"/>
          <w:color w:val="auto"/>
          <w:sz w:val="28"/>
          <w:szCs w:val="28"/>
          <w:highlight w:val="none"/>
        </w:rPr>
        <w:t>时间：</w:t>
      </w:r>
      <w:r>
        <w:rPr>
          <w:rFonts w:hint="eastAsia" w:ascii="宋体" w:hAnsi="宋体"/>
          <w:color w:val="auto"/>
          <w:sz w:val="28"/>
          <w:szCs w:val="28"/>
          <w:highlight w:val="none"/>
          <w:lang w:eastAsia="zh-CN"/>
        </w:rPr>
        <w:t>2026年</w:t>
      </w:r>
      <w:r>
        <w:rPr>
          <w:rFonts w:hint="eastAsia" w:ascii="宋体" w:hAnsi="宋体"/>
          <w:color w:val="auto"/>
          <w:sz w:val="28"/>
          <w:szCs w:val="28"/>
          <w:highlight w:val="none"/>
          <w:lang w:val="en-US" w:eastAsia="zh-CN"/>
        </w:rPr>
        <w:t>5</w:t>
      </w:r>
      <w:r>
        <w:rPr>
          <w:rFonts w:hint="eastAsia" w:ascii="宋体" w:hAnsi="宋体"/>
          <w:color w:val="auto"/>
          <w:sz w:val="28"/>
          <w:szCs w:val="28"/>
          <w:highlight w:val="none"/>
          <w:lang w:eastAsia="zh-CN"/>
        </w:rPr>
        <w:t>月</w:t>
      </w:r>
      <w:r>
        <w:rPr>
          <w:rFonts w:hint="eastAsia" w:ascii="宋体" w:hAnsi="宋体"/>
          <w:color w:val="auto"/>
          <w:sz w:val="28"/>
          <w:szCs w:val="28"/>
          <w:highlight w:val="none"/>
          <w:lang w:val="en-US" w:eastAsia="zh-CN"/>
        </w:rPr>
        <w:t>11</w:t>
      </w:r>
      <w:r>
        <w:rPr>
          <w:rFonts w:hint="eastAsia" w:ascii="宋体" w:hAnsi="宋体"/>
          <w:color w:val="auto"/>
          <w:sz w:val="28"/>
          <w:szCs w:val="28"/>
          <w:highlight w:val="none"/>
          <w:lang w:eastAsia="zh-CN"/>
        </w:rPr>
        <w:t>日</w:t>
      </w:r>
      <w:r>
        <w:rPr>
          <w:rFonts w:hint="eastAsia" w:ascii="宋体" w:hAnsi="宋体"/>
          <w:color w:val="auto"/>
          <w:sz w:val="28"/>
          <w:szCs w:val="28"/>
          <w:highlight w:val="none"/>
        </w:rPr>
        <w:t>至</w:t>
      </w:r>
      <w:r>
        <w:rPr>
          <w:rFonts w:hint="eastAsia" w:ascii="宋体" w:hAnsi="宋体"/>
          <w:color w:val="auto"/>
          <w:sz w:val="28"/>
          <w:szCs w:val="28"/>
          <w:highlight w:val="none"/>
          <w:lang w:eastAsia="zh-CN"/>
        </w:rPr>
        <w:t>2026年</w:t>
      </w:r>
      <w:r>
        <w:rPr>
          <w:rFonts w:hint="eastAsia" w:ascii="宋体" w:hAnsi="宋体"/>
          <w:color w:val="auto"/>
          <w:sz w:val="28"/>
          <w:szCs w:val="28"/>
          <w:highlight w:val="none"/>
          <w:lang w:val="en-US" w:eastAsia="zh-CN"/>
        </w:rPr>
        <w:t>5</w:t>
      </w:r>
      <w:r>
        <w:rPr>
          <w:rFonts w:hint="eastAsia" w:ascii="宋体" w:hAnsi="宋体"/>
          <w:color w:val="auto"/>
          <w:sz w:val="28"/>
          <w:szCs w:val="28"/>
          <w:highlight w:val="none"/>
          <w:lang w:eastAsia="zh-CN"/>
        </w:rPr>
        <w:t>月</w:t>
      </w:r>
      <w:r>
        <w:rPr>
          <w:rFonts w:hint="eastAsia" w:ascii="宋体" w:hAnsi="宋体"/>
          <w:color w:val="auto"/>
          <w:sz w:val="28"/>
          <w:szCs w:val="28"/>
          <w:highlight w:val="none"/>
          <w:lang w:val="en-US" w:eastAsia="zh-CN"/>
        </w:rPr>
        <w:t>15</w:t>
      </w:r>
      <w:r>
        <w:rPr>
          <w:rFonts w:hint="eastAsia" w:ascii="宋体" w:hAnsi="宋体"/>
          <w:color w:val="auto"/>
          <w:sz w:val="28"/>
          <w:szCs w:val="28"/>
          <w:highlight w:val="none"/>
          <w:lang w:eastAsia="zh-CN"/>
        </w:rPr>
        <w:t>日</w:t>
      </w:r>
    </w:p>
    <w:p w14:paraId="51B57403">
      <w:pPr>
        <w:spacing w:line="480" w:lineRule="exact"/>
        <w:ind w:firstLine="566" w:firstLineChars="200"/>
        <w:rPr>
          <w:rFonts w:hint="eastAsia" w:ascii="宋体" w:hAnsi="宋体" w:eastAsia="宋体"/>
          <w:sz w:val="28"/>
          <w:szCs w:val="28"/>
          <w:highlight w:val="none"/>
          <w:lang w:eastAsia="zh-CN"/>
        </w:rPr>
      </w:pPr>
      <w:r>
        <w:rPr>
          <w:rFonts w:hint="eastAsia" w:ascii="宋体" w:hAnsi="宋体"/>
          <w:sz w:val="28"/>
          <w:szCs w:val="28"/>
          <w:highlight w:val="none"/>
          <w:lang w:val="en-US" w:eastAsia="zh-CN"/>
        </w:rPr>
        <w:t>2.</w:t>
      </w:r>
      <w:r>
        <w:rPr>
          <w:rFonts w:hint="eastAsia" w:ascii="宋体" w:hAnsi="宋体"/>
          <w:sz w:val="28"/>
          <w:szCs w:val="28"/>
          <w:highlight w:val="none"/>
        </w:rPr>
        <w:t>地点：</w:t>
      </w:r>
      <w:r>
        <w:rPr>
          <w:rFonts w:hint="eastAsia" w:ascii="宋体" w:hAnsi="宋体"/>
          <w:sz w:val="28"/>
          <w:szCs w:val="28"/>
          <w:highlight w:val="none"/>
          <w:lang w:eastAsia="zh-CN"/>
        </w:rPr>
        <w:t>枝江市安福寺镇政务公开网附件栏免费发放</w:t>
      </w:r>
    </w:p>
    <w:p w14:paraId="05A5C70A">
      <w:pPr>
        <w:spacing w:line="480" w:lineRule="exact"/>
        <w:ind w:firstLine="566" w:firstLineChars="200"/>
        <w:rPr>
          <w:rFonts w:ascii="宋体" w:hAnsi="宋体"/>
          <w:sz w:val="28"/>
          <w:szCs w:val="28"/>
          <w:highlight w:val="none"/>
        </w:rPr>
      </w:pPr>
      <w:r>
        <w:rPr>
          <w:rFonts w:hint="eastAsia" w:ascii="宋体" w:hAnsi="宋体"/>
          <w:sz w:val="28"/>
          <w:szCs w:val="28"/>
          <w:highlight w:val="none"/>
          <w:lang w:val="en-US" w:eastAsia="zh-CN"/>
        </w:rPr>
        <w:t>3.</w:t>
      </w:r>
      <w:r>
        <w:rPr>
          <w:rFonts w:hint="eastAsia" w:ascii="宋体" w:hAnsi="宋体"/>
          <w:sz w:val="28"/>
          <w:szCs w:val="28"/>
          <w:highlight w:val="none"/>
        </w:rPr>
        <w:t>方式：</w:t>
      </w:r>
      <w:r>
        <w:rPr>
          <w:rFonts w:hint="eastAsia" w:ascii="宋体" w:hAnsi="宋体"/>
          <w:sz w:val="28"/>
          <w:szCs w:val="28"/>
          <w:highlight w:val="none"/>
          <w:lang w:eastAsia="zh-CN"/>
        </w:rPr>
        <w:t>本项目不进行现场报名，实行网上下载</w:t>
      </w:r>
      <w:r>
        <w:rPr>
          <w:rFonts w:hint="eastAsia" w:ascii="宋体" w:hAnsi="宋体"/>
          <w:sz w:val="28"/>
          <w:szCs w:val="28"/>
          <w:highlight w:val="none"/>
          <w:lang w:val="en-US" w:eastAsia="zh-CN"/>
        </w:rPr>
        <w:t>采购</w:t>
      </w:r>
      <w:r>
        <w:rPr>
          <w:rFonts w:hint="eastAsia" w:ascii="宋体" w:hAnsi="宋体"/>
          <w:sz w:val="28"/>
          <w:szCs w:val="28"/>
          <w:highlight w:val="none"/>
          <w:lang w:eastAsia="zh-CN"/>
        </w:rPr>
        <w:t>文件</w:t>
      </w:r>
      <w:r>
        <w:rPr>
          <w:rFonts w:hint="eastAsia" w:ascii="宋体" w:hAnsi="宋体"/>
          <w:sz w:val="28"/>
          <w:szCs w:val="28"/>
          <w:highlight w:val="none"/>
        </w:rPr>
        <w:t>。</w:t>
      </w:r>
    </w:p>
    <w:p w14:paraId="37E500F5">
      <w:pPr>
        <w:spacing w:line="480" w:lineRule="exact"/>
        <w:ind w:firstLine="566" w:firstLineChars="200"/>
        <w:rPr>
          <w:rFonts w:ascii="宋体" w:hAnsi="宋体"/>
          <w:sz w:val="28"/>
          <w:szCs w:val="28"/>
          <w:highlight w:val="none"/>
        </w:rPr>
      </w:pPr>
      <w:bookmarkStart w:id="27" w:name="_Toc35393801"/>
      <w:bookmarkStart w:id="28" w:name="_Toc35393632"/>
      <w:bookmarkStart w:id="29" w:name="_Toc28359015"/>
      <w:bookmarkStart w:id="30" w:name="_Toc28359092"/>
      <w:r>
        <w:rPr>
          <w:rFonts w:hint="eastAsia" w:ascii="宋体" w:hAnsi="宋体"/>
          <w:sz w:val="28"/>
          <w:szCs w:val="28"/>
          <w:highlight w:val="none"/>
        </w:rPr>
        <w:t>四、响应文件提交</w:t>
      </w:r>
      <w:bookmarkEnd w:id="27"/>
      <w:bookmarkEnd w:id="28"/>
      <w:bookmarkEnd w:id="29"/>
      <w:bookmarkEnd w:id="30"/>
    </w:p>
    <w:p w14:paraId="10951C0A">
      <w:pPr>
        <w:spacing w:line="480" w:lineRule="exact"/>
        <w:ind w:firstLine="566" w:firstLineChars="200"/>
        <w:rPr>
          <w:rFonts w:ascii="宋体" w:hAnsi="宋体"/>
          <w:color w:val="auto"/>
          <w:sz w:val="28"/>
          <w:szCs w:val="28"/>
          <w:highlight w:val="none"/>
        </w:rPr>
      </w:pPr>
      <w:r>
        <w:rPr>
          <w:rFonts w:hint="eastAsia" w:ascii="宋体" w:hAnsi="宋体"/>
          <w:color w:val="auto"/>
          <w:sz w:val="28"/>
          <w:szCs w:val="28"/>
          <w:highlight w:val="none"/>
          <w:lang w:val="en-US" w:eastAsia="zh-CN"/>
        </w:rPr>
        <w:t>1.</w:t>
      </w:r>
      <w:r>
        <w:rPr>
          <w:rFonts w:hint="eastAsia" w:ascii="宋体" w:hAnsi="宋体"/>
          <w:color w:val="auto"/>
          <w:sz w:val="28"/>
          <w:szCs w:val="28"/>
          <w:highlight w:val="none"/>
        </w:rPr>
        <w:t>开始时间：</w:t>
      </w:r>
      <w:r>
        <w:rPr>
          <w:rFonts w:hint="eastAsia" w:ascii="宋体" w:hAnsi="宋体"/>
          <w:color w:val="auto"/>
          <w:sz w:val="28"/>
          <w:szCs w:val="28"/>
          <w:highlight w:val="none"/>
          <w:lang w:eastAsia="zh-CN"/>
        </w:rPr>
        <w:t>2026年</w:t>
      </w:r>
      <w:r>
        <w:rPr>
          <w:rFonts w:hint="eastAsia" w:ascii="宋体" w:hAnsi="宋体"/>
          <w:color w:val="auto"/>
          <w:sz w:val="28"/>
          <w:szCs w:val="28"/>
          <w:highlight w:val="none"/>
          <w:lang w:val="en-US" w:eastAsia="zh-CN"/>
        </w:rPr>
        <w:t>5</w:t>
      </w:r>
      <w:r>
        <w:rPr>
          <w:rFonts w:hint="eastAsia" w:ascii="宋体" w:hAnsi="宋体"/>
          <w:color w:val="auto"/>
          <w:sz w:val="28"/>
          <w:szCs w:val="28"/>
          <w:highlight w:val="none"/>
          <w:lang w:eastAsia="zh-CN"/>
        </w:rPr>
        <w:t>月</w:t>
      </w:r>
      <w:r>
        <w:rPr>
          <w:rFonts w:hint="eastAsia" w:ascii="宋体" w:hAnsi="宋体"/>
          <w:color w:val="auto"/>
          <w:sz w:val="28"/>
          <w:szCs w:val="28"/>
          <w:highlight w:val="none"/>
          <w:lang w:val="en-US" w:eastAsia="zh-CN"/>
        </w:rPr>
        <w:t>21</w:t>
      </w:r>
      <w:r>
        <w:rPr>
          <w:rFonts w:hint="eastAsia" w:ascii="宋体" w:hAnsi="宋体"/>
          <w:color w:val="auto"/>
          <w:sz w:val="28"/>
          <w:szCs w:val="28"/>
          <w:highlight w:val="none"/>
          <w:lang w:eastAsia="zh-CN"/>
        </w:rPr>
        <w:t>日</w:t>
      </w:r>
      <w:r>
        <w:rPr>
          <w:rFonts w:hint="eastAsia" w:ascii="宋体" w:hAnsi="宋体"/>
          <w:color w:val="auto"/>
          <w:sz w:val="28"/>
          <w:szCs w:val="28"/>
          <w:highlight w:val="none"/>
          <w:lang w:val="en-US" w:eastAsia="zh-CN"/>
        </w:rPr>
        <w:t>9</w:t>
      </w:r>
      <w:r>
        <w:rPr>
          <w:rFonts w:hint="eastAsia" w:ascii="宋体" w:hAnsi="宋体"/>
          <w:color w:val="auto"/>
          <w:sz w:val="28"/>
          <w:szCs w:val="28"/>
          <w:highlight w:val="none"/>
        </w:rPr>
        <w:t>时</w:t>
      </w:r>
      <w:r>
        <w:rPr>
          <w:rFonts w:hint="eastAsia" w:ascii="宋体" w:hAnsi="宋体"/>
          <w:color w:val="auto"/>
          <w:sz w:val="28"/>
          <w:szCs w:val="28"/>
          <w:highlight w:val="none"/>
          <w:lang w:val="en-US" w:eastAsia="zh-CN"/>
        </w:rPr>
        <w:t>00</w:t>
      </w:r>
      <w:r>
        <w:rPr>
          <w:rFonts w:hint="eastAsia" w:ascii="宋体" w:hAnsi="宋体"/>
          <w:color w:val="auto"/>
          <w:sz w:val="28"/>
          <w:szCs w:val="28"/>
          <w:highlight w:val="none"/>
        </w:rPr>
        <w:t>分</w:t>
      </w:r>
    </w:p>
    <w:p w14:paraId="4820EBFC">
      <w:pPr>
        <w:spacing w:line="480" w:lineRule="exact"/>
        <w:ind w:firstLine="566" w:firstLineChars="200"/>
        <w:rPr>
          <w:rFonts w:ascii="宋体" w:hAnsi="宋体"/>
          <w:color w:val="auto"/>
          <w:sz w:val="28"/>
          <w:szCs w:val="28"/>
          <w:highlight w:val="none"/>
        </w:rPr>
      </w:pPr>
      <w:r>
        <w:rPr>
          <w:rFonts w:hint="eastAsia" w:ascii="宋体" w:hAnsi="宋体"/>
          <w:color w:val="auto"/>
          <w:sz w:val="28"/>
          <w:szCs w:val="28"/>
          <w:highlight w:val="none"/>
          <w:lang w:val="en-US" w:eastAsia="zh-CN"/>
        </w:rPr>
        <w:t>2.</w:t>
      </w:r>
      <w:r>
        <w:rPr>
          <w:rFonts w:hint="eastAsia" w:ascii="宋体" w:hAnsi="宋体"/>
          <w:color w:val="auto"/>
          <w:sz w:val="28"/>
          <w:szCs w:val="28"/>
          <w:highlight w:val="none"/>
        </w:rPr>
        <w:t>截止时间：</w:t>
      </w:r>
      <w:r>
        <w:rPr>
          <w:rFonts w:hint="eastAsia" w:ascii="宋体" w:hAnsi="宋体"/>
          <w:color w:val="auto"/>
          <w:sz w:val="28"/>
          <w:szCs w:val="28"/>
          <w:highlight w:val="none"/>
          <w:lang w:eastAsia="zh-CN"/>
        </w:rPr>
        <w:t>2026年</w:t>
      </w:r>
      <w:r>
        <w:rPr>
          <w:rFonts w:hint="eastAsia" w:ascii="宋体" w:hAnsi="宋体"/>
          <w:color w:val="auto"/>
          <w:sz w:val="28"/>
          <w:szCs w:val="28"/>
          <w:highlight w:val="none"/>
          <w:lang w:val="en-US" w:eastAsia="zh-CN"/>
        </w:rPr>
        <w:t>5</w:t>
      </w:r>
      <w:r>
        <w:rPr>
          <w:rFonts w:hint="eastAsia" w:ascii="宋体" w:hAnsi="宋体"/>
          <w:color w:val="auto"/>
          <w:sz w:val="28"/>
          <w:szCs w:val="28"/>
          <w:highlight w:val="none"/>
          <w:lang w:eastAsia="zh-CN"/>
        </w:rPr>
        <w:t>月</w:t>
      </w:r>
      <w:r>
        <w:rPr>
          <w:rFonts w:hint="eastAsia" w:ascii="宋体" w:hAnsi="宋体"/>
          <w:color w:val="auto"/>
          <w:sz w:val="28"/>
          <w:szCs w:val="28"/>
          <w:highlight w:val="none"/>
          <w:lang w:val="en-US" w:eastAsia="zh-CN"/>
        </w:rPr>
        <w:t>21</w:t>
      </w:r>
      <w:r>
        <w:rPr>
          <w:rFonts w:hint="eastAsia" w:ascii="宋体" w:hAnsi="宋体"/>
          <w:color w:val="auto"/>
          <w:sz w:val="28"/>
          <w:szCs w:val="28"/>
          <w:highlight w:val="none"/>
          <w:lang w:eastAsia="zh-CN"/>
        </w:rPr>
        <w:t>日</w:t>
      </w:r>
      <w:r>
        <w:rPr>
          <w:rFonts w:hint="eastAsia" w:ascii="宋体" w:hAnsi="宋体"/>
          <w:color w:val="auto"/>
          <w:sz w:val="28"/>
          <w:szCs w:val="28"/>
          <w:highlight w:val="none"/>
          <w:lang w:val="en-US" w:eastAsia="zh-CN"/>
        </w:rPr>
        <w:t>9</w:t>
      </w:r>
      <w:r>
        <w:rPr>
          <w:rFonts w:hint="eastAsia" w:ascii="宋体" w:hAnsi="宋体"/>
          <w:color w:val="auto"/>
          <w:sz w:val="28"/>
          <w:szCs w:val="28"/>
          <w:highlight w:val="none"/>
        </w:rPr>
        <w:t>时</w:t>
      </w:r>
      <w:r>
        <w:rPr>
          <w:rFonts w:hint="eastAsia" w:ascii="宋体" w:hAnsi="宋体"/>
          <w:color w:val="auto"/>
          <w:sz w:val="28"/>
          <w:szCs w:val="28"/>
          <w:highlight w:val="none"/>
          <w:lang w:val="en-US" w:eastAsia="zh-CN"/>
        </w:rPr>
        <w:t>30</w:t>
      </w:r>
      <w:r>
        <w:rPr>
          <w:rFonts w:hint="eastAsia" w:ascii="宋体" w:hAnsi="宋体"/>
          <w:color w:val="auto"/>
          <w:sz w:val="28"/>
          <w:szCs w:val="28"/>
          <w:highlight w:val="none"/>
        </w:rPr>
        <w:t>分</w:t>
      </w:r>
    </w:p>
    <w:p w14:paraId="651C9D66">
      <w:pPr>
        <w:spacing w:line="480" w:lineRule="exact"/>
        <w:ind w:firstLine="566" w:firstLineChars="200"/>
        <w:rPr>
          <w:rFonts w:ascii="宋体" w:hAnsi="宋体"/>
          <w:color w:val="auto"/>
          <w:sz w:val="28"/>
          <w:szCs w:val="28"/>
          <w:highlight w:val="none"/>
        </w:rPr>
      </w:pPr>
      <w:r>
        <w:rPr>
          <w:rFonts w:hint="eastAsia" w:ascii="宋体" w:hAnsi="宋体"/>
          <w:color w:val="auto"/>
          <w:sz w:val="28"/>
          <w:szCs w:val="28"/>
          <w:highlight w:val="none"/>
          <w:lang w:val="en-US" w:eastAsia="zh-CN"/>
        </w:rPr>
        <w:t>3.</w:t>
      </w:r>
      <w:r>
        <w:rPr>
          <w:rFonts w:hint="eastAsia" w:ascii="宋体" w:hAnsi="宋体"/>
          <w:color w:val="auto"/>
          <w:sz w:val="28"/>
          <w:szCs w:val="28"/>
          <w:highlight w:val="none"/>
        </w:rPr>
        <w:t>地点：枝江市安福寺镇公共资源交易中心512室。（</w:t>
      </w:r>
      <w:r>
        <w:rPr>
          <w:rFonts w:ascii="宋体" w:hAnsi="宋体"/>
          <w:color w:val="auto"/>
          <w:sz w:val="28"/>
          <w:szCs w:val="28"/>
          <w:highlight w:val="none"/>
        </w:rPr>
        <w:t>逾期</w:t>
      </w:r>
      <w:r>
        <w:rPr>
          <w:rFonts w:hint="eastAsia" w:ascii="宋体" w:hAnsi="宋体"/>
          <w:color w:val="auto"/>
          <w:sz w:val="28"/>
          <w:szCs w:val="28"/>
          <w:highlight w:val="none"/>
        </w:rPr>
        <w:t>送达</w:t>
      </w:r>
      <w:r>
        <w:rPr>
          <w:rFonts w:ascii="宋体" w:hAnsi="宋体"/>
          <w:color w:val="auto"/>
          <w:sz w:val="28"/>
          <w:szCs w:val="28"/>
          <w:highlight w:val="none"/>
        </w:rPr>
        <w:t>或未按规定</w:t>
      </w:r>
      <w:r>
        <w:rPr>
          <w:rFonts w:hint="eastAsia" w:ascii="宋体" w:hAnsi="宋体"/>
          <w:color w:val="auto"/>
          <w:sz w:val="28"/>
          <w:szCs w:val="28"/>
          <w:highlight w:val="none"/>
        </w:rPr>
        <w:t>密封</w:t>
      </w:r>
      <w:r>
        <w:rPr>
          <w:rFonts w:ascii="宋体" w:hAnsi="宋体"/>
          <w:color w:val="auto"/>
          <w:sz w:val="28"/>
          <w:szCs w:val="28"/>
          <w:highlight w:val="none"/>
        </w:rPr>
        <w:t>的响应文件，采购人将拒收</w:t>
      </w:r>
      <w:r>
        <w:rPr>
          <w:rFonts w:hint="eastAsia" w:ascii="宋体" w:hAnsi="宋体"/>
          <w:color w:val="auto"/>
          <w:sz w:val="28"/>
          <w:szCs w:val="28"/>
          <w:highlight w:val="none"/>
        </w:rPr>
        <w:t>）</w:t>
      </w:r>
    </w:p>
    <w:p w14:paraId="2F5BBB29">
      <w:pPr>
        <w:spacing w:line="480" w:lineRule="exact"/>
        <w:ind w:firstLine="566" w:firstLineChars="200"/>
        <w:rPr>
          <w:rFonts w:ascii="宋体" w:hAnsi="宋体"/>
          <w:color w:val="auto"/>
          <w:sz w:val="28"/>
          <w:szCs w:val="28"/>
          <w:highlight w:val="none"/>
        </w:rPr>
      </w:pPr>
      <w:bookmarkStart w:id="31" w:name="_Toc28359093"/>
      <w:bookmarkStart w:id="32" w:name="_Toc28359016"/>
      <w:bookmarkStart w:id="33" w:name="_Toc35393633"/>
      <w:bookmarkStart w:id="34" w:name="_Toc35393802"/>
      <w:r>
        <w:rPr>
          <w:rFonts w:hint="eastAsia" w:ascii="宋体" w:hAnsi="宋体"/>
          <w:color w:val="auto"/>
          <w:sz w:val="28"/>
          <w:szCs w:val="28"/>
          <w:highlight w:val="none"/>
        </w:rPr>
        <w:t>五、</w:t>
      </w:r>
      <w:bookmarkEnd w:id="31"/>
      <w:bookmarkEnd w:id="32"/>
      <w:bookmarkEnd w:id="33"/>
      <w:bookmarkEnd w:id="34"/>
      <w:bookmarkStart w:id="35" w:name="_Toc35393803"/>
      <w:bookmarkStart w:id="36" w:name="_Toc28359017"/>
      <w:bookmarkStart w:id="37" w:name="_Toc28359094"/>
      <w:bookmarkStart w:id="38" w:name="_Toc35393634"/>
      <w:r>
        <w:rPr>
          <w:rFonts w:hint="eastAsia" w:ascii="宋体" w:hAnsi="宋体"/>
          <w:color w:val="auto"/>
          <w:sz w:val="28"/>
          <w:szCs w:val="28"/>
          <w:highlight w:val="none"/>
        </w:rPr>
        <w:t>开启</w:t>
      </w:r>
    </w:p>
    <w:p w14:paraId="118345A9">
      <w:pPr>
        <w:spacing w:line="480" w:lineRule="exact"/>
        <w:ind w:firstLine="566" w:firstLineChars="200"/>
        <w:rPr>
          <w:rFonts w:ascii="宋体" w:hAnsi="宋体"/>
          <w:color w:val="auto"/>
          <w:sz w:val="28"/>
          <w:szCs w:val="28"/>
          <w:highlight w:val="none"/>
        </w:rPr>
      </w:pPr>
      <w:r>
        <w:rPr>
          <w:rFonts w:hint="eastAsia" w:ascii="宋体" w:hAnsi="宋体"/>
          <w:color w:val="auto"/>
          <w:sz w:val="28"/>
          <w:szCs w:val="28"/>
          <w:highlight w:val="none"/>
          <w:lang w:val="en-US" w:eastAsia="zh-CN"/>
        </w:rPr>
        <w:t>1.</w:t>
      </w:r>
      <w:r>
        <w:rPr>
          <w:rFonts w:hint="eastAsia" w:ascii="宋体" w:hAnsi="宋体"/>
          <w:color w:val="auto"/>
          <w:sz w:val="28"/>
          <w:szCs w:val="28"/>
          <w:highlight w:val="none"/>
        </w:rPr>
        <w:t>时间：</w:t>
      </w:r>
      <w:r>
        <w:rPr>
          <w:rFonts w:hint="eastAsia" w:ascii="宋体" w:hAnsi="宋体"/>
          <w:color w:val="auto"/>
          <w:sz w:val="28"/>
          <w:szCs w:val="28"/>
          <w:highlight w:val="none"/>
          <w:lang w:eastAsia="zh-CN"/>
        </w:rPr>
        <w:t>2026年</w:t>
      </w:r>
      <w:r>
        <w:rPr>
          <w:rFonts w:hint="eastAsia" w:ascii="宋体" w:hAnsi="宋体"/>
          <w:color w:val="auto"/>
          <w:sz w:val="28"/>
          <w:szCs w:val="28"/>
          <w:highlight w:val="none"/>
          <w:lang w:val="en-US" w:eastAsia="zh-CN"/>
        </w:rPr>
        <w:t>5</w:t>
      </w:r>
      <w:r>
        <w:rPr>
          <w:rFonts w:hint="eastAsia" w:ascii="宋体" w:hAnsi="宋体"/>
          <w:color w:val="auto"/>
          <w:sz w:val="28"/>
          <w:szCs w:val="28"/>
          <w:highlight w:val="none"/>
          <w:lang w:eastAsia="zh-CN"/>
        </w:rPr>
        <w:t>月</w:t>
      </w:r>
      <w:r>
        <w:rPr>
          <w:rFonts w:hint="eastAsia" w:ascii="宋体" w:hAnsi="宋体"/>
          <w:color w:val="auto"/>
          <w:sz w:val="28"/>
          <w:szCs w:val="28"/>
          <w:highlight w:val="none"/>
          <w:lang w:val="en-US" w:eastAsia="zh-CN"/>
        </w:rPr>
        <w:t>21</w:t>
      </w:r>
      <w:r>
        <w:rPr>
          <w:rFonts w:hint="eastAsia" w:ascii="宋体" w:hAnsi="宋体"/>
          <w:color w:val="auto"/>
          <w:sz w:val="28"/>
          <w:szCs w:val="28"/>
          <w:highlight w:val="none"/>
          <w:lang w:eastAsia="zh-CN"/>
        </w:rPr>
        <w:t>日</w:t>
      </w:r>
      <w:r>
        <w:rPr>
          <w:rFonts w:hint="eastAsia" w:ascii="宋体" w:hAnsi="宋体"/>
          <w:color w:val="auto"/>
          <w:sz w:val="28"/>
          <w:szCs w:val="28"/>
          <w:highlight w:val="none"/>
          <w:lang w:val="en-US" w:eastAsia="zh-CN"/>
        </w:rPr>
        <w:t>9</w:t>
      </w:r>
      <w:r>
        <w:rPr>
          <w:rFonts w:hint="eastAsia" w:ascii="宋体" w:hAnsi="宋体"/>
          <w:color w:val="auto"/>
          <w:sz w:val="28"/>
          <w:szCs w:val="28"/>
          <w:highlight w:val="none"/>
        </w:rPr>
        <w:t>时</w:t>
      </w:r>
      <w:r>
        <w:rPr>
          <w:rFonts w:hint="eastAsia" w:ascii="宋体" w:hAnsi="宋体"/>
          <w:color w:val="auto"/>
          <w:sz w:val="28"/>
          <w:szCs w:val="28"/>
          <w:highlight w:val="none"/>
          <w:lang w:val="en-US" w:eastAsia="zh-CN"/>
        </w:rPr>
        <w:t>30</w:t>
      </w:r>
      <w:r>
        <w:rPr>
          <w:rFonts w:hint="eastAsia" w:ascii="宋体" w:hAnsi="宋体"/>
          <w:color w:val="auto"/>
          <w:sz w:val="28"/>
          <w:szCs w:val="28"/>
          <w:highlight w:val="none"/>
        </w:rPr>
        <w:t>分</w:t>
      </w:r>
    </w:p>
    <w:p w14:paraId="121118A9">
      <w:pPr>
        <w:spacing w:line="480" w:lineRule="exact"/>
        <w:ind w:firstLine="566" w:firstLineChars="200"/>
        <w:rPr>
          <w:rFonts w:ascii="宋体" w:hAnsi="宋体"/>
          <w:sz w:val="28"/>
          <w:szCs w:val="28"/>
          <w:highlight w:val="none"/>
        </w:rPr>
      </w:pPr>
      <w:r>
        <w:rPr>
          <w:rFonts w:hint="eastAsia" w:ascii="宋体" w:hAnsi="宋体"/>
          <w:sz w:val="28"/>
          <w:szCs w:val="28"/>
          <w:highlight w:val="none"/>
          <w:lang w:val="en-US" w:eastAsia="zh-CN"/>
        </w:rPr>
        <w:t>2.</w:t>
      </w:r>
      <w:r>
        <w:rPr>
          <w:rFonts w:hint="eastAsia" w:ascii="宋体" w:hAnsi="宋体"/>
          <w:sz w:val="28"/>
          <w:szCs w:val="28"/>
          <w:highlight w:val="none"/>
        </w:rPr>
        <w:t>地点：枝江市安福寺镇公共资源交易中心512室</w:t>
      </w:r>
    </w:p>
    <w:p w14:paraId="62624D42">
      <w:pPr>
        <w:spacing w:line="480" w:lineRule="exact"/>
        <w:ind w:firstLine="566" w:firstLineChars="200"/>
        <w:rPr>
          <w:rFonts w:ascii="宋体" w:hAnsi="宋体"/>
          <w:sz w:val="28"/>
          <w:szCs w:val="28"/>
          <w:highlight w:val="none"/>
        </w:rPr>
      </w:pPr>
      <w:r>
        <w:rPr>
          <w:rFonts w:hint="eastAsia" w:ascii="宋体" w:hAnsi="宋体"/>
          <w:sz w:val="28"/>
          <w:szCs w:val="28"/>
          <w:highlight w:val="none"/>
        </w:rPr>
        <w:t>六、公告期限</w:t>
      </w:r>
      <w:bookmarkEnd w:id="35"/>
      <w:bookmarkEnd w:id="36"/>
      <w:bookmarkEnd w:id="37"/>
      <w:bookmarkEnd w:id="38"/>
    </w:p>
    <w:p w14:paraId="4CB4E81E">
      <w:pPr>
        <w:spacing w:line="480" w:lineRule="exact"/>
        <w:ind w:firstLine="566" w:firstLineChars="200"/>
        <w:rPr>
          <w:rFonts w:ascii="宋体" w:hAnsi="宋体"/>
          <w:sz w:val="28"/>
          <w:szCs w:val="28"/>
          <w:highlight w:val="none"/>
        </w:rPr>
      </w:pPr>
      <w:r>
        <w:rPr>
          <w:rFonts w:hint="eastAsia" w:ascii="宋体" w:hAnsi="宋体"/>
          <w:sz w:val="28"/>
          <w:szCs w:val="28"/>
          <w:highlight w:val="none"/>
        </w:rPr>
        <w:t>自本公告发布之日起</w:t>
      </w:r>
      <w:r>
        <w:rPr>
          <w:rFonts w:hint="eastAsia" w:ascii="宋体" w:hAnsi="宋体"/>
          <w:sz w:val="28"/>
          <w:szCs w:val="28"/>
          <w:highlight w:val="none"/>
          <w:lang w:val="en-US" w:eastAsia="zh-CN"/>
        </w:rPr>
        <w:t>3</w:t>
      </w:r>
      <w:r>
        <w:rPr>
          <w:rFonts w:hint="eastAsia" w:ascii="宋体" w:hAnsi="宋体"/>
          <w:sz w:val="28"/>
          <w:szCs w:val="28"/>
          <w:highlight w:val="none"/>
        </w:rPr>
        <w:t>个工作日</w:t>
      </w:r>
    </w:p>
    <w:p w14:paraId="36DB913A">
      <w:pPr>
        <w:spacing w:line="480" w:lineRule="exact"/>
        <w:ind w:firstLine="566" w:firstLineChars="200"/>
        <w:rPr>
          <w:rFonts w:ascii="宋体" w:hAnsi="宋体"/>
          <w:sz w:val="28"/>
          <w:szCs w:val="28"/>
          <w:highlight w:val="none"/>
        </w:rPr>
      </w:pPr>
      <w:bookmarkStart w:id="39" w:name="_Toc35393804"/>
      <w:bookmarkStart w:id="40" w:name="_Toc35393635"/>
      <w:r>
        <w:rPr>
          <w:rFonts w:hint="eastAsia" w:ascii="宋体" w:hAnsi="宋体"/>
          <w:sz w:val="28"/>
          <w:szCs w:val="28"/>
          <w:highlight w:val="none"/>
        </w:rPr>
        <w:t>七、其他补充事宜</w:t>
      </w:r>
      <w:bookmarkEnd w:id="39"/>
      <w:bookmarkEnd w:id="40"/>
    </w:p>
    <w:p w14:paraId="0B0D160A">
      <w:pPr>
        <w:keepNext w:val="0"/>
        <w:keepLines w:val="0"/>
        <w:pageBreakBefore w:val="0"/>
        <w:kinsoku/>
        <w:wordWrap/>
        <w:overflowPunct/>
        <w:topLinePunct w:val="0"/>
        <w:autoSpaceDE/>
        <w:autoSpaceDN/>
        <w:bidi w:val="0"/>
        <w:adjustRightInd/>
        <w:spacing w:line="500" w:lineRule="exact"/>
        <w:ind w:left="0" w:firstLine="566" w:firstLineChars="200"/>
        <w:textAlignment w:val="auto"/>
        <w:outlineLvl w:val="9"/>
        <w:rPr>
          <w:rFonts w:hint="eastAsia" w:ascii="宋体" w:hAnsi="宋体" w:eastAsia="宋体" w:cs="宋体"/>
          <w:color w:val="auto"/>
          <w:sz w:val="28"/>
          <w:szCs w:val="28"/>
          <w:highlight w:val="none"/>
        </w:rPr>
      </w:pPr>
      <w:bookmarkStart w:id="41" w:name="_Toc35393636"/>
      <w:bookmarkStart w:id="42" w:name="_Toc28359095"/>
      <w:bookmarkStart w:id="43" w:name="_Toc35393805"/>
      <w:bookmarkStart w:id="44" w:name="_Toc28359018"/>
      <w:r>
        <w:rPr>
          <w:rFonts w:hint="eastAsia" w:ascii="宋体" w:hAnsi="宋体" w:eastAsia="宋体" w:cs="宋体"/>
          <w:color w:val="auto"/>
          <w:sz w:val="28"/>
          <w:szCs w:val="28"/>
          <w:highlight w:val="none"/>
          <w:lang w:val="en-US" w:eastAsia="zh-CN"/>
        </w:rPr>
        <w:t>1.</w:t>
      </w:r>
      <w:r>
        <w:rPr>
          <w:rFonts w:hint="eastAsia" w:ascii="宋体" w:hAnsi="宋体" w:eastAsia="宋体" w:cs="宋体"/>
          <w:color w:val="auto"/>
          <w:sz w:val="28"/>
          <w:szCs w:val="28"/>
          <w:highlight w:val="none"/>
        </w:rPr>
        <w:t>供应商的法定代表人或其委托代理人应携带其身份证明文件</w:t>
      </w:r>
      <w:r>
        <w:rPr>
          <w:rFonts w:hint="eastAsia" w:ascii="宋体" w:hAnsi="宋体" w:eastAsia="宋体" w:cs="宋体"/>
          <w:color w:val="auto"/>
          <w:sz w:val="28"/>
          <w:szCs w:val="28"/>
          <w:highlight w:val="none"/>
          <w:lang w:val="en-US" w:eastAsia="zh-CN"/>
        </w:rPr>
        <w:t>（</w:t>
      </w:r>
      <w:r>
        <w:rPr>
          <w:rFonts w:hint="eastAsia" w:ascii="宋体" w:hAnsi="宋体" w:eastAsia="宋体" w:cs="宋体"/>
          <w:color w:val="auto"/>
          <w:sz w:val="28"/>
          <w:szCs w:val="28"/>
          <w:highlight w:val="none"/>
        </w:rPr>
        <w:t>法人代表参加会的提供法人代表身份证明原件，委托人参加会的提供授权委托书原件</w:t>
      </w:r>
      <w:r>
        <w:rPr>
          <w:rFonts w:hint="eastAsia" w:ascii="宋体" w:hAnsi="宋体" w:eastAsia="宋体" w:cs="宋体"/>
          <w:color w:val="auto"/>
          <w:sz w:val="28"/>
          <w:szCs w:val="28"/>
          <w:highlight w:val="none"/>
          <w:lang w:val="en-US" w:eastAsia="zh-CN"/>
        </w:rPr>
        <w:t>）</w:t>
      </w:r>
      <w:r>
        <w:rPr>
          <w:rFonts w:hint="eastAsia" w:ascii="宋体" w:hAnsi="宋体" w:eastAsia="宋体" w:cs="宋体"/>
          <w:color w:val="auto"/>
          <w:sz w:val="28"/>
          <w:szCs w:val="28"/>
          <w:highlight w:val="none"/>
        </w:rPr>
        <w:t>和第二代有效身份证原件</w:t>
      </w:r>
      <w:r>
        <w:rPr>
          <w:rFonts w:hint="eastAsia" w:ascii="宋体" w:hAnsi="宋体" w:eastAsia="宋体" w:cs="宋体"/>
          <w:color w:val="auto"/>
          <w:sz w:val="28"/>
          <w:szCs w:val="28"/>
          <w:highlight w:val="none"/>
          <w:lang w:eastAsia="zh-CN"/>
        </w:rPr>
        <w:t>在截止时间前到达地点签到并参加会议</w:t>
      </w:r>
      <w:r>
        <w:rPr>
          <w:rFonts w:hint="eastAsia" w:ascii="宋体" w:hAnsi="宋体" w:eastAsia="宋体" w:cs="宋体"/>
          <w:color w:val="auto"/>
          <w:sz w:val="28"/>
          <w:szCs w:val="28"/>
          <w:highlight w:val="none"/>
        </w:rPr>
        <w:t>。</w:t>
      </w:r>
    </w:p>
    <w:p w14:paraId="21141920">
      <w:pPr>
        <w:pStyle w:val="20"/>
        <w:keepNext w:val="0"/>
        <w:keepLines w:val="0"/>
        <w:pageBreakBefore w:val="0"/>
        <w:numPr>
          <w:ilvl w:val="0"/>
          <w:numId w:val="0"/>
        </w:numPr>
        <w:kinsoku/>
        <w:wordWrap/>
        <w:overflowPunct/>
        <w:topLinePunct w:val="0"/>
        <w:autoSpaceDE/>
        <w:autoSpaceDN/>
        <w:bidi w:val="0"/>
        <w:adjustRightInd/>
        <w:spacing w:line="500" w:lineRule="exact"/>
        <w:ind w:left="0" w:firstLine="566" w:firstLineChars="200"/>
        <w:textAlignment w:val="auto"/>
        <w:outlineLvl w:val="9"/>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2.</w:t>
      </w:r>
      <w:r>
        <w:rPr>
          <w:rFonts w:hint="eastAsia" w:ascii="宋体" w:hAnsi="宋体" w:eastAsia="宋体" w:cs="宋体"/>
          <w:color w:val="auto"/>
          <w:sz w:val="28"/>
          <w:szCs w:val="28"/>
          <w:highlight w:val="none"/>
        </w:rPr>
        <w:t>本项目采购实行资格后审，资格审查的标准和条件详见文件规定，资格后审不合格的供应商将作废标处理。</w:t>
      </w:r>
    </w:p>
    <w:p w14:paraId="2AD6DF26">
      <w:pPr>
        <w:pStyle w:val="20"/>
        <w:keepNext w:val="0"/>
        <w:keepLines w:val="0"/>
        <w:pageBreakBefore w:val="0"/>
        <w:kinsoku/>
        <w:wordWrap/>
        <w:overflowPunct/>
        <w:topLinePunct w:val="0"/>
        <w:autoSpaceDE/>
        <w:autoSpaceDN/>
        <w:bidi w:val="0"/>
        <w:adjustRightInd/>
        <w:spacing w:line="500" w:lineRule="exact"/>
        <w:ind w:left="0" w:firstLine="566" w:firstLineChars="200"/>
        <w:textAlignment w:val="auto"/>
        <w:outlineLvl w:val="9"/>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3.响应文件递交截止时间与时间是否有变化，请关注本次采购过程中发布的澄清修改文件中的相关信息。</w:t>
      </w:r>
    </w:p>
    <w:p w14:paraId="1EFF2931">
      <w:pPr>
        <w:spacing w:line="480" w:lineRule="exact"/>
        <w:ind w:firstLine="566" w:firstLineChars="200"/>
        <w:rPr>
          <w:rFonts w:ascii="宋体" w:hAnsi="宋体"/>
          <w:sz w:val="28"/>
          <w:szCs w:val="28"/>
          <w:highlight w:val="none"/>
        </w:rPr>
      </w:pPr>
      <w:r>
        <w:rPr>
          <w:rFonts w:hint="eastAsia" w:ascii="宋体" w:hAnsi="宋体"/>
          <w:sz w:val="28"/>
          <w:szCs w:val="28"/>
          <w:highlight w:val="none"/>
        </w:rPr>
        <w:t>八、凡对本次采购提出询问，请按</w:t>
      </w:r>
      <w:r>
        <w:rPr>
          <w:rFonts w:ascii="宋体" w:hAnsi="宋体"/>
          <w:sz w:val="28"/>
          <w:szCs w:val="28"/>
          <w:highlight w:val="none"/>
        </w:rPr>
        <w:t>以下方式</w:t>
      </w:r>
      <w:r>
        <w:rPr>
          <w:rFonts w:hint="eastAsia" w:ascii="宋体" w:hAnsi="宋体"/>
          <w:sz w:val="28"/>
          <w:szCs w:val="28"/>
          <w:highlight w:val="none"/>
        </w:rPr>
        <w:t>联系。</w:t>
      </w:r>
      <w:bookmarkEnd w:id="41"/>
      <w:bookmarkEnd w:id="42"/>
      <w:bookmarkEnd w:id="43"/>
      <w:bookmarkEnd w:id="44"/>
    </w:p>
    <w:p w14:paraId="78EA9D63">
      <w:pPr>
        <w:spacing w:line="480" w:lineRule="exact"/>
        <w:ind w:firstLine="566" w:firstLineChars="200"/>
        <w:rPr>
          <w:rFonts w:ascii="宋体" w:hAnsi="宋体"/>
          <w:sz w:val="28"/>
          <w:szCs w:val="28"/>
          <w:highlight w:val="none"/>
        </w:rPr>
      </w:pPr>
      <w:bookmarkStart w:id="45" w:name="_Toc28359096"/>
      <w:bookmarkStart w:id="46" w:name="_Toc28359019"/>
      <w:bookmarkStart w:id="47" w:name="_Toc35393806"/>
      <w:bookmarkStart w:id="48" w:name="_Toc35393637"/>
      <w:r>
        <w:rPr>
          <w:rFonts w:hint="eastAsia" w:ascii="宋体" w:hAnsi="宋体"/>
          <w:sz w:val="28"/>
          <w:szCs w:val="28"/>
          <w:highlight w:val="none"/>
        </w:rPr>
        <w:t>1</w:t>
      </w:r>
      <w:r>
        <w:rPr>
          <w:rFonts w:hint="eastAsia" w:ascii="宋体" w:hAnsi="宋体"/>
          <w:sz w:val="28"/>
          <w:szCs w:val="28"/>
          <w:highlight w:val="none"/>
          <w:lang w:val="en-US" w:eastAsia="zh-CN"/>
        </w:rPr>
        <w:t>.</w:t>
      </w:r>
      <w:r>
        <w:rPr>
          <w:rFonts w:hint="eastAsia" w:ascii="宋体" w:hAnsi="宋体"/>
          <w:sz w:val="28"/>
          <w:szCs w:val="28"/>
          <w:highlight w:val="none"/>
        </w:rPr>
        <w:t>采购人信息</w:t>
      </w:r>
      <w:bookmarkEnd w:id="45"/>
      <w:bookmarkEnd w:id="46"/>
      <w:bookmarkEnd w:id="47"/>
      <w:bookmarkEnd w:id="48"/>
    </w:p>
    <w:p w14:paraId="55633E01">
      <w:pPr>
        <w:spacing w:line="480" w:lineRule="exact"/>
        <w:ind w:firstLine="566" w:firstLineChars="200"/>
        <w:rPr>
          <w:rFonts w:hint="eastAsia" w:ascii="宋体" w:hAnsi="宋体" w:eastAsia="宋体"/>
          <w:sz w:val="28"/>
          <w:szCs w:val="28"/>
          <w:highlight w:val="none"/>
          <w:lang w:eastAsia="zh-CN"/>
        </w:rPr>
      </w:pPr>
      <w:r>
        <w:rPr>
          <w:rFonts w:hint="eastAsia" w:ascii="宋体" w:hAnsi="宋体"/>
          <w:sz w:val="28"/>
          <w:szCs w:val="28"/>
          <w:highlight w:val="none"/>
        </w:rPr>
        <w:t>名    称：</w:t>
      </w:r>
      <w:r>
        <w:rPr>
          <w:rFonts w:hint="eastAsia" w:ascii="宋体" w:hAnsi="宋体"/>
          <w:sz w:val="28"/>
          <w:szCs w:val="28"/>
          <w:highlight w:val="none"/>
          <w:lang w:eastAsia="zh-CN"/>
        </w:rPr>
        <w:t>枝江市安福寺镇·工业园综合执法中心</w:t>
      </w:r>
    </w:p>
    <w:p w14:paraId="2DCEAB27">
      <w:pPr>
        <w:spacing w:line="480" w:lineRule="exact"/>
        <w:ind w:firstLine="566" w:firstLineChars="200"/>
        <w:rPr>
          <w:rFonts w:hint="eastAsia" w:ascii="宋体" w:hAnsi="宋体" w:eastAsia="宋体"/>
          <w:sz w:val="28"/>
          <w:szCs w:val="28"/>
          <w:highlight w:val="none"/>
          <w:lang w:eastAsia="zh-CN"/>
        </w:rPr>
      </w:pPr>
      <w:r>
        <w:rPr>
          <w:rFonts w:hint="eastAsia" w:ascii="宋体" w:hAnsi="宋体"/>
          <w:sz w:val="28"/>
          <w:szCs w:val="28"/>
          <w:highlight w:val="none"/>
        </w:rPr>
        <w:t>地    址：</w:t>
      </w:r>
      <w:r>
        <w:rPr>
          <w:rFonts w:hint="eastAsia" w:ascii="宋体" w:hAnsi="宋体"/>
          <w:sz w:val="28"/>
          <w:szCs w:val="28"/>
          <w:highlight w:val="none"/>
          <w:lang w:eastAsia="zh-CN"/>
        </w:rPr>
        <w:t>枝江市安福寺镇之字溪大道</w:t>
      </w:r>
    </w:p>
    <w:p w14:paraId="664D3942">
      <w:pPr>
        <w:spacing w:line="480" w:lineRule="exact"/>
        <w:ind w:firstLine="566" w:firstLineChars="200"/>
        <w:rPr>
          <w:rFonts w:hint="eastAsia" w:ascii="宋体" w:hAnsi="宋体"/>
          <w:sz w:val="28"/>
          <w:szCs w:val="28"/>
          <w:highlight w:val="none"/>
          <w:lang w:eastAsia="zh-CN"/>
        </w:rPr>
      </w:pPr>
      <w:r>
        <w:rPr>
          <w:rFonts w:hint="eastAsia" w:ascii="宋体" w:hAnsi="宋体"/>
          <w:sz w:val="28"/>
          <w:szCs w:val="28"/>
          <w:highlight w:val="none"/>
        </w:rPr>
        <w:t>联</w:t>
      </w:r>
      <w:r>
        <w:rPr>
          <w:rFonts w:hint="eastAsia" w:ascii="宋体" w:hAnsi="宋体"/>
          <w:sz w:val="28"/>
          <w:szCs w:val="28"/>
          <w:highlight w:val="none"/>
          <w:lang w:val="en-US" w:eastAsia="zh-CN"/>
        </w:rPr>
        <w:t xml:space="preserve"> </w:t>
      </w:r>
      <w:r>
        <w:rPr>
          <w:rFonts w:hint="eastAsia" w:ascii="宋体" w:hAnsi="宋体"/>
          <w:sz w:val="28"/>
          <w:szCs w:val="28"/>
          <w:highlight w:val="none"/>
        </w:rPr>
        <w:t>系</w:t>
      </w:r>
      <w:r>
        <w:rPr>
          <w:rFonts w:hint="eastAsia" w:ascii="宋体" w:hAnsi="宋体"/>
          <w:sz w:val="28"/>
          <w:szCs w:val="28"/>
          <w:highlight w:val="none"/>
          <w:lang w:val="en-US" w:eastAsia="zh-CN"/>
        </w:rPr>
        <w:t xml:space="preserve"> 人</w:t>
      </w:r>
      <w:r>
        <w:rPr>
          <w:rFonts w:hint="eastAsia" w:ascii="宋体" w:hAnsi="宋体"/>
          <w:sz w:val="28"/>
          <w:szCs w:val="28"/>
          <w:highlight w:val="none"/>
        </w:rPr>
        <w:t>：</w:t>
      </w:r>
      <w:r>
        <w:rPr>
          <w:rFonts w:hint="eastAsia" w:ascii="宋体" w:hAnsi="宋体"/>
          <w:sz w:val="28"/>
          <w:szCs w:val="28"/>
          <w:highlight w:val="none"/>
          <w:lang w:eastAsia="zh-CN"/>
        </w:rPr>
        <w:t>幸红波</w:t>
      </w:r>
    </w:p>
    <w:p w14:paraId="33ED5F12">
      <w:pPr>
        <w:spacing w:line="480" w:lineRule="exact"/>
        <w:ind w:firstLine="566" w:firstLineChars="200"/>
        <w:rPr>
          <w:rFonts w:hint="default" w:ascii="宋体" w:hAnsi="宋体" w:eastAsia="宋体"/>
          <w:sz w:val="28"/>
          <w:szCs w:val="28"/>
          <w:highlight w:val="none"/>
          <w:lang w:val="en-US" w:eastAsia="zh-CN"/>
        </w:rPr>
      </w:pPr>
      <w:r>
        <w:rPr>
          <w:rFonts w:hint="eastAsia" w:ascii="宋体" w:hAnsi="宋体" w:eastAsia="宋体" w:cs="宋体"/>
          <w:color w:val="auto"/>
          <w:sz w:val="28"/>
          <w:szCs w:val="28"/>
          <w:highlight w:val="none"/>
        </w:rPr>
        <w:t>联系电话：</w:t>
      </w:r>
      <w:r>
        <w:rPr>
          <w:rFonts w:hint="eastAsia" w:ascii="宋体" w:hAnsi="宋体"/>
          <w:sz w:val="28"/>
          <w:szCs w:val="28"/>
          <w:highlight w:val="none"/>
          <w:lang w:val="en-US" w:eastAsia="zh-CN"/>
        </w:rPr>
        <w:t>18910634879</w:t>
      </w:r>
    </w:p>
    <w:p w14:paraId="25F82F4F">
      <w:pPr>
        <w:spacing w:line="480" w:lineRule="exact"/>
        <w:ind w:firstLine="566" w:firstLineChars="200"/>
        <w:rPr>
          <w:rFonts w:ascii="宋体" w:hAnsi="宋体"/>
          <w:sz w:val="28"/>
          <w:szCs w:val="28"/>
          <w:highlight w:val="none"/>
        </w:rPr>
      </w:pPr>
      <w:bookmarkStart w:id="49" w:name="_Toc35393807"/>
      <w:bookmarkStart w:id="50" w:name="_Toc35393638"/>
      <w:bookmarkStart w:id="51" w:name="_Toc28359020"/>
      <w:bookmarkStart w:id="52" w:name="_Toc28359097"/>
      <w:r>
        <w:rPr>
          <w:rFonts w:hint="eastAsia" w:ascii="宋体" w:hAnsi="宋体"/>
          <w:sz w:val="28"/>
          <w:szCs w:val="28"/>
          <w:highlight w:val="none"/>
        </w:rPr>
        <w:t>2</w:t>
      </w:r>
      <w:bookmarkEnd w:id="49"/>
      <w:bookmarkEnd w:id="50"/>
      <w:bookmarkEnd w:id="51"/>
      <w:bookmarkEnd w:id="52"/>
      <w:bookmarkStart w:id="53" w:name="_Toc35393639"/>
      <w:bookmarkStart w:id="54" w:name="_Toc28359098"/>
      <w:bookmarkStart w:id="55" w:name="_Toc28359021"/>
      <w:bookmarkStart w:id="56" w:name="_Toc35393808"/>
      <w:r>
        <w:rPr>
          <w:rFonts w:hint="eastAsia" w:ascii="宋体" w:hAnsi="宋体"/>
          <w:sz w:val="28"/>
          <w:szCs w:val="28"/>
          <w:highlight w:val="none"/>
          <w:lang w:val="en-US" w:eastAsia="zh-CN"/>
        </w:rPr>
        <w:t>.</w:t>
      </w:r>
      <w:r>
        <w:rPr>
          <w:rFonts w:hint="eastAsia" w:ascii="宋体" w:hAnsi="宋体"/>
          <w:sz w:val="28"/>
          <w:szCs w:val="28"/>
          <w:highlight w:val="none"/>
        </w:rPr>
        <w:t>采购代理机构信息</w:t>
      </w:r>
    </w:p>
    <w:p w14:paraId="732C492E">
      <w:pPr>
        <w:pStyle w:val="20"/>
        <w:keepNext w:val="0"/>
        <w:keepLines w:val="0"/>
        <w:pageBreakBefore w:val="0"/>
        <w:numPr>
          <w:ilvl w:val="0"/>
          <w:numId w:val="0"/>
        </w:numPr>
        <w:kinsoku/>
        <w:wordWrap/>
        <w:overflowPunct/>
        <w:topLinePunct w:val="0"/>
        <w:autoSpaceDE/>
        <w:autoSpaceDN/>
        <w:bidi w:val="0"/>
        <w:adjustRightInd/>
        <w:spacing w:line="480" w:lineRule="exact"/>
        <w:ind w:firstLine="566" w:firstLineChars="200"/>
        <w:textAlignment w:val="auto"/>
        <w:outlineLvl w:val="9"/>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eastAsia="zh-CN"/>
        </w:rPr>
        <w:t>名称：</w:t>
      </w:r>
      <w:r>
        <w:rPr>
          <w:rFonts w:hint="eastAsia" w:ascii="宋体" w:hAnsi="宋体" w:eastAsia="宋体" w:cs="宋体"/>
          <w:color w:val="auto"/>
          <w:sz w:val="28"/>
          <w:szCs w:val="28"/>
          <w:highlight w:val="none"/>
        </w:rPr>
        <w:t>湖北谨天工程咨询有限公司</w:t>
      </w:r>
    </w:p>
    <w:p w14:paraId="50BAA6B4">
      <w:pPr>
        <w:pStyle w:val="20"/>
        <w:keepNext w:val="0"/>
        <w:keepLines w:val="0"/>
        <w:pageBreakBefore w:val="0"/>
        <w:numPr>
          <w:ilvl w:val="0"/>
          <w:numId w:val="0"/>
        </w:numPr>
        <w:kinsoku/>
        <w:wordWrap/>
        <w:overflowPunct/>
        <w:topLinePunct w:val="0"/>
        <w:autoSpaceDE/>
        <w:autoSpaceDN/>
        <w:bidi w:val="0"/>
        <w:adjustRightInd/>
        <w:spacing w:line="480" w:lineRule="exact"/>
        <w:ind w:firstLine="566" w:firstLineChars="200"/>
        <w:textAlignment w:val="auto"/>
        <w:outlineLvl w:val="9"/>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eastAsia="zh-CN"/>
        </w:rPr>
        <w:t>地址：枝江市南苑七巷14号</w:t>
      </w:r>
    </w:p>
    <w:p w14:paraId="0F200526">
      <w:pPr>
        <w:pStyle w:val="20"/>
        <w:keepNext w:val="0"/>
        <w:keepLines w:val="0"/>
        <w:pageBreakBefore w:val="0"/>
        <w:kinsoku/>
        <w:wordWrap/>
        <w:overflowPunct/>
        <w:topLinePunct w:val="0"/>
        <w:autoSpaceDE/>
        <w:autoSpaceDN/>
        <w:bidi w:val="0"/>
        <w:adjustRightInd/>
        <w:spacing w:line="480" w:lineRule="exact"/>
        <w:ind w:firstLine="566" w:firstLineChars="200"/>
        <w:textAlignment w:val="auto"/>
        <w:outlineLvl w:val="9"/>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rPr>
        <w:t>联系人：</w:t>
      </w:r>
      <w:r>
        <w:rPr>
          <w:rFonts w:hint="eastAsia" w:ascii="宋体" w:hAnsi="宋体" w:eastAsia="宋体" w:cs="宋体"/>
          <w:color w:val="auto"/>
          <w:sz w:val="28"/>
          <w:szCs w:val="28"/>
          <w:highlight w:val="none"/>
          <w:lang w:val="en-US" w:eastAsia="zh-CN"/>
        </w:rPr>
        <w:t>熊书曼</w:t>
      </w:r>
    </w:p>
    <w:p w14:paraId="71DDA17B">
      <w:pPr>
        <w:pStyle w:val="20"/>
        <w:keepNext w:val="0"/>
        <w:keepLines w:val="0"/>
        <w:pageBreakBefore w:val="0"/>
        <w:kinsoku/>
        <w:wordWrap/>
        <w:overflowPunct/>
        <w:topLinePunct w:val="0"/>
        <w:autoSpaceDE/>
        <w:autoSpaceDN/>
        <w:bidi w:val="0"/>
        <w:adjustRightInd/>
        <w:spacing w:line="480" w:lineRule="exact"/>
        <w:ind w:firstLine="566" w:firstLineChars="200"/>
        <w:textAlignment w:val="auto"/>
        <w:outlineLvl w:val="9"/>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rPr>
        <w:t>联系电话：</w:t>
      </w:r>
      <w:r>
        <w:rPr>
          <w:rFonts w:hint="eastAsia" w:ascii="宋体" w:hAnsi="宋体" w:eastAsia="宋体" w:cs="宋体"/>
          <w:color w:val="auto"/>
          <w:sz w:val="28"/>
          <w:szCs w:val="28"/>
          <w:highlight w:val="none"/>
          <w:lang w:val="en-US" w:eastAsia="zh-CN"/>
        </w:rPr>
        <w:t>13094162512</w:t>
      </w:r>
    </w:p>
    <w:bookmarkEnd w:id="9"/>
    <w:bookmarkEnd w:id="10"/>
    <w:bookmarkEnd w:id="53"/>
    <w:bookmarkEnd w:id="54"/>
    <w:bookmarkEnd w:id="55"/>
    <w:bookmarkEnd w:id="56"/>
    <w:p w14:paraId="790209C1">
      <w:pPr>
        <w:pStyle w:val="20"/>
        <w:keepNext w:val="0"/>
        <w:keepLines w:val="0"/>
        <w:pageBreakBefore w:val="0"/>
        <w:kinsoku/>
        <w:wordWrap/>
        <w:overflowPunct/>
        <w:topLinePunct w:val="0"/>
        <w:autoSpaceDE/>
        <w:autoSpaceDN/>
        <w:bidi w:val="0"/>
        <w:adjustRightInd/>
        <w:spacing w:line="500" w:lineRule="exact"/>
        <w:ind w:left="0" w:leftChars="0" w:right="0" w:firstLine="566" w:firstLineChars="200"/>
        <w:textAlignment w:val="auto"/>
        <w:outlineLvl w:val="9"/>
        <w:rPr>
          <w:rFonts w:hint="default" w:ascii="宋体" w:hAnsi="宋体" w:eastAsia="宋体" w:cs="宋体"/>
          <w:color w:val="auto"/>
          <w:sz w:val="28"/>
          <w:szCs w:val="28"/>
          <w:highlight w:val="none"/>
          <w:lang w:val="en-US" w:eastAsia="zh-CN"/>
        </w:rPr>
      </w:pPr>
    </w:p>
    <w:bookmarkEnd w:id="11"/>
    <w:bookmarkEnd w:id="12"/>
    <w:bookmarkEnd w:id="13"/>
    <w:p w14:paraId="4EDB66FD">
      <w:pPr>
        <w:rPr>
          <w:rFonts w:hint="eastAsia" w:ascii="宋体" w:hAnsi="宋体" w:eastAsia="宋体" w:cs="宋体"/>
          <w:color w:val="auto"/>
          <w:sz w:val="32"/>
          <w:szCs w:val="32"/>
          <w:highlight w:val="none"/>
        </w:rPr>
      </w:pPr>
      <w:bookmarkStart w:id="57" w:name="_Toc31402"/>
      <w:r>
        <w:rPr>
          <w:rFonts w:hint="eastAsia" w:ascii="宋体" w:hAnsi="宋体" w:eastAsia="宋体" w:cs="宋体"/>
          <w:color w:val="auto"/>
          <w:sz w:val="32"/>
          <w:szCs w:val="32"/>
          <w:highlight w:val="none"/>
        </w:rPr>
        <w:br w:type="page"/>
      </w:r>
    </w:p>
    <w:p w14:paraId="0F6AAAD2">
      <w:pPr>
        <w:pStyle w:val="2"/>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32"/>
          <w:szCs w:val="32"/>
          <w:highlight w:val="none"/>
        </w:rPr>
      </w:pPr>
      <w:bookmarkStart w:id="58" w:name="_Toc7189"/>
      <w:r>
        <w:rPr>
          <w:rFonts w:hint="eastAsia" w:ascii="宋体" w:hAnsi="宋体" w:eastAsia="宋体" w:cs="宋体"/>
          <w:color w:val="auto"/>
          <w:sz w:val="32"/>
          <w:szCs w:val="32"/>
          <w:highlight w:val="none"/>
        </w:rPr>
        <w:t>第二章  磋商须知</w:t>
      </w:r>
      <w:bookmarkEnd w:id="14"/>
      <w:bookmarkEnd w:id="57"/>
      <w:bookmarkEnd w:id="58"/>
    </w:p>
    <w:p w14:paraId="1988512B">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1"/>
        <w:rPr>
          <w:rFonts w:hint="eastAsia" w:ascii="宋体" w:hAnsi="宋体" w:eastAsia="宋体" w:cs="宋体"/>
          <w:b/>
          <w:color w:val="auto"/>
          <w:sz w:val="28"/>
          <w:szCs w:val="28"/>
          <w:highlight w:val="none"/>
        </w:rPr>
      </w:pPr>
      <w:bookmarkStart w:id="59" w:name="_Toc23495"/>
      <w:bookmarkStart w:id="60" w:name="_Toc3297"/>
      <w:r>
        <w:rPr>
          <w:rFonts w:hint="eastAsia" w:ascii="宋体" w:hAnsi="宋体" w:eastAsia="宋体" w:cs="宋体"/>
          <w:b/>
          <w:color w:val="auto"/>
          <w:sz w:val="28"/>
          <w:szCs w:val="28"/>
          <w:highlight w:val="none"/>
        </w:rPr>
        <w:t>一、总 则</w:t>
      </w:r>
      <w:bookmarkEnd w:id="59"/>
      <w:bookmarkEnd w:id="60"/>
    </w:p>
    <w:p w14:paraId="2417DD86">
      <w:pPr>
        <w:keepNext w:val="0"/>
        <w:keepLines w:val="0"/>
        <w:pageBreakBefore w:val="0"/>
        <w:widowControl w:val="0"/>
        <w:kinsoku/>
        <w:wordWrap/>
        <w:overflowPunct/>
        <w:topLinePunct w:val="0"/>
        <w:autoSpaceDE/>
        <w:autoSpaceDN/>
        <w:bidi w:val="0"/>
        <w:adjustRightInd/>
        <w:snapToGrid/>
        <w:spacing w:line="400" w:lineRule="exact"/>
        <w:ind w:firstLine="463" w:firstLineChars="191"/>
        <w:textAlignment w:val="auto"/>
        <w:outlineLvl w:val="9"/>
        <w:rPr>
          <w:rFonts w:hint="eastAsia" w:ascii="宋体" w:hAnsi="宋体" w:eastAsia="宋体" w:cs="宋体"/>
          <w:b/>
          <w:color w:val="auto"/>
          <w:sz w:val="24"/>
          <w:szCs w:val="24"/>
          <w:highlight w:val="none"/>
        </w:rPr>
      </w:pPr>
      <w:bookmarkStart w:id="61" w:name="_Toc22586"/>
      <w:bookmarkStart w:id="62" w:name="_Toc7031"/>
      <w:r>
        <w:rPr>
          <w:rFonts w:hint="eastAsia" w:ascii="宋体" w:hAnsi="宋体" w:eastAsia="宋体" w:cs="宋体"/>
          <w:b/>
          <w:color w:val="auto"/>
          <w:sz w:val="24"/>
          <w:szCs w:val="24"/>
          <w:highlight w:val="none"/>
        </w:rPr>
        <w:t>1.适用范围</w:t>
      </w:r>
      <w:bookmarkEnd w:id="61"/>
      <w:bookmarkEnd w:id="62"/>
    </w:p>
    <w:p w14:paraId="317D2ED4">
      <w:pPr>
        <w:keepNext w:val="0"/>
        <w:keepLines w:val="0"/>
        <w:pageBreakBefore w:val="0"/>
        <w:widowControl w:val="0"/>
        <w:kinsoku/>
        <w:wordWrap/>
        <w:overflowPunct/>
        <w:topLinePunct w:val="0"/>
        <w:autoSpaceDE/>
        <w:autoSpaceDN/>
        <w:bidi w:val="0"/>
        <w:adjustRightInd/>
        <w:snapToGrid/>
        <w:spacing w:line="400" w:lineRule="exact"/>
        <w:ind w:firstLine="463" w:firstLineChars="191"/>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本磋商文件仅适用于本磋商邀请函中所述项目的</w:t>
      </w:r>
      <w:r>
        <w:rPr>
          <w:rFonts w:hint="eastAsia" w:ascii="宋体" w:hAnsi="宋体" w:cs="宋体"/>
          <w:color w:val="auto"/>
          <w:sz w:val="24"/>
          <w:szCs w:val="24"/>
          <w:highlight w:val="none"/>
          <w:lang w:eastAsia="zh-CN"/>
        </w:rPr>
        <w:t>服务</w:t>
      </w:r>
      <w:r>
        <w:rPr>
          <w:rFonts w:hint="eastAsia" w:ascii="宋体" w:hAnsi="宋体" w:eastAsia="宋体" w:cs="宋体"/>
          <w:color w:val="auto"/>
          <w:sz w:val="24"/>
          <w:szCs w:val="24"/>
          <w:highlight w:val="none"/>
        </w:rPr>
        <w:t>采购。</w:t>
      </w:r>
    </w:p>
    <w:p w14:paraId="55E35D1A">
      <w:pPr>
        <w:keepNext w:val="0"/>
        <w:keepLines w:val="0"/>
        <w:pageBreakBefore w:val="0"/>
        <w:widowControl w:val="0"/>
        <w:kinsoku/>
        <w:wordWrap/>
        <w:overflowPunct/>
        <w:topLinePunct w:val="0"/>
        <w:autoSpaceDE/>
        <w:autoSpaceDN/>
        <w:bidi w:val="0"/>
        <w:adjustRightInd/>
        <w:snapToGrid/>
        <w:spacing w:line="400" w:lineRule="exact"/>
        <w:ind w:firstLine="463" w:firstLineChars="191"/>
        <w:textAlignment w:val="auto"/>
        <w:outlineLvl w:val="9"/>
        <w:rPr>
          <w:rFonts w:hint="eastAsia" w:ascii="宋体" w:hAnsi="宋体" w:eastAsia="宋体" w:cs="宋体"/>
          <w:b/>
          <w:color w:val="auto"/>
          <w:sz w:val="24"/>
          <w:szCs w:val="24"/>
          <w:highlight w:val="none"/>
        </w:rPr>
      </w:pPr>
      <w:bookmarkStart w:id="63" w:name="_Toc31285"/>
      <w:bookmarkStart w:id="64" w:name="_Toc25461"/>
      <w:r>
        <w:rPr>
          <w:rFonts w:hint="eastAsia" w:ascii="宋体" w:hAnsi="宋体" w:eastAsia="宋体" w:cs="宋体"/>
          <w:b/>
          <w:color w:val="auto"/>
          <w:sz w:val="24"/>
          <w:szCs w:val="24"/>
          <w:highlight w:val="none"/>
        </w:rPr>
        <w:t>2.定义</w:t>
      </w:r>
      <w:bookmarkEnd w:id="63"/>
      <w:bookmarkEnd w:id="64"/>
    </w:p>
    <w:p w14:paraId="155B7A04">
      <w:pPr>
        <w:keepNext w:val="0"/>
        <w:keepLines w:val="0"/>
        <w:pageBreakBefore w:val="0"/>
        <w:widowControl w:val="0"/>
        <w:kinsoku/>
        <w:wordWrap/>
        <w:overflowPunct/>
        <w:topLinePunct w:val="0"/>
        <w:autoSpaceDE/>
        <w:autoSpaceDN/>
        <w:bidi w:val="0"/>
        <w:adjustRightInd/>
        <w:snapToGrid/>
        <w:spacing w:line="400" w:lineRule="exact"/>
        <w:ind w:firstLine="463" w:firstLineChars="191"/>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2.1.“采购人”是指</w:t>
      </w:r>
      <w:r>
        <w:rPr>
          <w:rFonts w:hint="eastAsia" w:ascii="宋体" w:hAnsi="宋体" w:cs="宋体"/>
          <w:color w:val="auto"/>
          <w:sz w:val="24"/>
          <w:szCs w:val="24"/>
          <w:highlight w:val="none"/>
          <w:lang w:eastAsia="zh-CN"/>
        </w:rPr>
        <w:t>枝江市安福寺镇·工业园综合执法中心</w:t>
      </w:r>
      <w:r>
        <w:rPr>
          <w:rFonts w:hint="eastAsia" w:ascii="宋体" w:hAnsi="宋体" w:eastAsia="宋体" w:cs="宋体"/>
          <w:color w:val="auto"/>
          <w:sz w:val="24"/>
          <w:szCs w:val="24"/>
          <w:highlight w:val="none"/>
        </w:rPr>
        <w:t>。</w:t>
      </w:r>
    </w:p>
    <w:p w14:paraId="13A3D473">
      <w:pPr>
        <w:keepNext w:val="0"/>
        <w:keepLines w:val="0"/>
        <w:pageBreakBefore w:val="0"/>
        <w:widowControl w:val="0"/>
        <w:kinsoku/>
        <w:wordWrap/>
        <w:overflowPunct/>
        <w:topLinePunct w:val="0"/>
        <w:autoSpaceDE/>
        <w:autoSpaceDN/>
        <w:bidi w:val="0"/>
        <w:adjustRightInd/>
        <w:snapToGrid/>
        <w:spacing w:line="400" w:lineRule="exact"/>
        <w:ind w:firstLine="463" w:firstLineChars="191"/>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2.2.“磋商供应商”是指：符合本磋商文件规定并参加本项目磋商的供应商。</w:t>
      </w:r>
    </w:p>
    <w:p w14:paraId="7642D9F6">
      <w:pPr>
        <w:keepNext w:val="0"/>
        <w:keepLines w:val="0"/>
        <w:pageBreakBefore w:val="0"/>
        <w:widowControl w:val="0"/>
        <w:kinsoku/>
        <w:wordWrap/>
        <w:overflowPunct/>
        <w:topLinePunct w:val="0"/>
        <w:autoSpaceDE/>
        <w:autoSpaceDN/>
        <w:bidi w:val="0"/>
        <w:adjustRightInd/>
        <w:snapToGrid/>
        <w:spacing w:line="400" w:lineRule="exact"/>
        <w:ind w:firstLine="463" w:firstLineChars="191"/>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2.3.“监管部门”是指：</w:t>
      </w:r>
      <w:r>
        <w:rPr>
          <w:rFonts w:hint="eastAsia" w:ascii="宋体" w:hAnsi="宋体" w:eastAsia="宋体" w:cs="宋体"/>
          <w:color w:val="auto"/>
          <w:sz w:val="24"/>
          <w:szCs w:val="24"/>
          <w:highlight w:val="none"/>
          <w:lang w:val="en-US" w:eastAsia="zh-CN"/>
        </w:rPr>
        <w:t>枝江市安福寺镇</w:t>
      </w:r>
      <w:r>
        <w:rPr>
          <w:rFonts w:hint="eastAsia" w:ascii="宋体" w:hAnsi="宋体" w:cs="宋体"/>
          <w:color w:val="auto"/>
          <w:sz w:val="24"/>
          <w:szCs w:val="24"/>
          <w:highlight w:val="none"/>
          <w:lang w:val="en-US" w:eastAsia="zh-CN"/>
        </w:rPr>
        <w:t>·工业园</w:t>
      </w:r>
      <w:r>
        <w:rPr>
          <w:rFonts w:hint="eastAsia" w:ascii="宋体" w:hAnsi="宋体" w:eastAsia="宋体" w:cs="宋体"/>
          <w:color w:val="auto"/>
          <w:sz w:val="24"/>
          <w:szCs w:val="24"/>
          <w:highlight w:val="none"/>
          <w:lang w:val="en-US" w:eastAsia="zh-CN"/>
        </w:rPr>
        <w:t>财政所</w:t>
      </w:r>
      <w:r>
        <w:rPr>
          <w:rFonts w:hint="eastAsia" w:ascii="宋体" w:hAnsi="宋体" w:eastAsia="宋体" w:cs="宋体"/>
          <w:color w:val="auto"/>
          <w:sz w:val="24"/>
          <w:szCs w:val="24"/>
          <w:highlight w:val="none"/>
        </w:rPr>
        <w:t>。</w:t>
      </w:r>
    </w:p>
    <w:p w14:paraId="68D12313">
      <w:pPr>
        <w:keepNext w:val="0"/>
        <w:keepLines w:val="0"/>
        <w:pageBreakBefore w:val="0"/>
        <w:widowControl w:val="0"/>
        <w:kinsoku/>
        <w:wordWrap/>
        <w:overflowPunct/>
        <w:topLinePunct w:val="0"/>
        <w:autoSpaceDE/>
        <w:autoSpaceDN/>
        <w:bidi w:val="0"/>
        <w:adjustRightInd/>
        <w:snapToGrid/>
        <w:spacing w:line="400" w:lineRule="exact"/>
        <w:ind w:firstLine="463" w:firstLineChars="191"/>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2.4.“采购代理机构”是指：</w:t>
      </w:r>
      <w:r>
        <w:rPr>
          <w:rFonts w:hint="eastAsia" w:ascii="宋体" w:hAnsi="宋体" w:eastAsia="宋体" w:cs="宋体"/>
          <w:color w:val="auto"/>
          <w:sz w:val="24"/>
          <w:szCs w:val="24"/>
          <w:highlight w:val="none"/>
          <w:lang w:eastAsia="zh-CN"/>
        </w:rPr>
        <w:t>湖北谨天工程咨询有限公司</w:t>
      </w:r>
      <w:r>
        <w:rPr>
          <w:rFonts w:hint="eastAsia" w:ascii="宋体" w:hAnsi="宋体" w:eastAsia="宋体" w:cs="宋体"/>
          <w:color w:val="auto"/>
          <w:sz w:val="24"/>
          <w:szCs w:val="24"/>
          <w:highlight w:val="none"/>
        </w:rPr>
        <w:t>。</w:t>
      </w:r>
    </w:p>
    <w:p w14:paraId="71C475A2">
      <w:pPr>
        <w:keepNext w:val="0"/>
        <w:keepLines w:val="0"/>
        <w:pageBreakBefore w:val="0"/>
        <w:widowControl w:val="0"/>
        <w:kinsoku/>
        <w:wordWrap/>
        <w:overflowPunct/>
        <w:topLinePunct w:val="0"/>
        <w:autoSpaceDE/>
        <w:autoSpaceDN/>
        <w:bidi w:val="0"/>
        <w:adjustRightInd/>
        <w:snapToGrid/>
        <w:spacing w:line="400" w:lineRule="exact"/>
        <w:ind w:firstLine="463" w:firstLineChars="191"/>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2.5.“成交供应商”是指：经磋商小组评审、推荐，采购人依法确定并签订合同的磋商供应商。</w:t>
      </w:r>
    </w:p>
    <w:p w14:paraId="2BA23222">
      <w:pPr>
        <w:keepNext w:val="0"/>
        <w:keepLines w:val="0"/>
        <w:pageBreakBefore w:val="0"/>
        <w:widowControl w:val="0"/>
        <w:kinsoku/>
        <w:wordWrap/>
        <w:overflowPunct/>
        <w:topLinePunct w:val="0"/>
        <w:autoSpaceDE/>
        <w:autoSpaceDN/>
        <w:bidi w:val="0"/>
        <w:adjustRightInd/>
        <w:snapToGrid/>
        <w:spacing w:line="400" w:lineRule="exact"/>
        <w:ind w:firstLine="463" w:firstLineChars="191"/>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2.6.“服务”是指：除货物和工程以外的其他公共资源交易对象，其中包括：供应商须承担的运输、安装、技术支持、培训以及其它类似附加服务的义务。</w:t>
      </w:r>
    </w:p>
    <w:p w14:paraId="4CE8633A">
      <w:pPr>
        <w:keepNext w:val="0"/>
        <w:keepLines w:val="0"/>
        <w:pageBreakBefore w:val="0"/>
        <w:widowControl w:val="0"/>
        <w:kinsoku/>
        <w:wordWrap/>
        <w:overflowPunct/>
        <w:topLinePunct w:val="0"/>
        <w:autoSpaceDE/>
        <w:autoSpaceDN/>
        <w:bidi w:val="0"/>
        <w:adjustRightInd/>
        <w:snapToGrid/>
        <w:spacing w:line="400" w:lineRule="exact"/>
        <w:ind w:firstLine="463" w:firstLineChars="191"/>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2.7.“磋商响应文件”是指：磋商供应商根据本文件要求，编制包含报价、技术和服务等所有内容的文件。</w:t>
      </w:r>
    </w:p>
    <w:p w14:paraId="5F5E7D0C">
      <w:pPr>
        <w:keepNext w:val="0"/>
        <w:keepLines w:val="0"/>
        <w:pageBreakBefore w:val="0"/>
        <w:widowControl w:val="0"/>
        <w:kinsoku/>
        <w:wordWrap/>
        <w:overflowPunct/>
        <w:topLinePunct w:val="0"/>
        <w:autoSpaceDE/>
        <w:autoSpaceDN/>
        <w:bidi w:val="0"/>
        <w:adjustRightInd/>
        <w:snapToGrid/>
        <w:spacing w:line="400" w:lineRule="exact"/>
        <w:ind w:firstLine="463" w:firstLineChars="191"/>
        <w:textAlignment w:val="auto"/>
        <w:outlineLvl w:val="9"/>
        <w:rPr>
          <w:rFonts w:hint="eastAsia" w:ascii="宋体" w:hAnsi="宋体" w:eastAsia="宋体" w:cs="宋体"/>
          <w:b/>
          <w:color w:val="auto"/>
          <w:sz w:val="24"/>
          <w:szCs w:val="24"/>
          <w:highlight w:val="none"/>
        </w:rPr>
      </w:pPr>
      <w:bookmarkStart w:id="65" w:name="_Toc8826"/>
      <w:bookmarkStart w:id="66" w:name="_Toc9704"/>
      <w:r>
        <w:rPr>
          <w:rFonts w:hint="eastAsia" w:ascii="宋体" w:hAnsi="宋体" w:eastAsia="宋体" w:cs="宋体"/>
          <w:b/>
          <w:color w:val="auto"/>
          <w:sz w:val="24"/>
          <w:szCs w:val="24"/>
          <w:highlight w:val="none"/>
        </w:rPr>
        <w:t>3.磋商供应商必须具备的基本条件及踏勘要求</w:t>
      </w:r>
      <w:bookmarkEnd w:id="65"/>
      <w:bookmarkEnd w:id="66"/>
    </w:p>
    <w:p w14:paraId="2B8C7E85">
      <w:pPr>
        <w:keepNext w:val="0"/>
        <w:keepLines w:val="0"/>
        <w:pageBreakBefore w:val="0"/>
        <w:widowControl w:val="0"/>
        <w:kinsoku/>
        <w:wordWrap/>
        <w:overflowPunct/>
        <w:topLinePunct w:val="0"/>
        <w:autoSpaceDE/>
        <w:autoSpaceDN/>
        <w:bidi w:val="0"/>
        <w:adjustRightInd/>
        <w:snapToGrid/>
        <w:spacing w:line="400" w:lineRule="exact"/>
        <w:ind w:firstLine="463" w:firstLineChars="191"/>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3.1.符合磋商文件“第一章 竞争性磋商公告”第二条所规定的供应商资格要求，有能力提供本项目服务的供应商。</w:t>
      </w:r>
    </w:p>
    <w:p w14:paraId="57B7008F">
      <w:pPr>
        <w:keepNext w:val="0"/>
        <w:keepLines w:val="0"/>
        <w:pageBreakBefore w:val="0"/>
        <w:widowControl w:val="0"/>
        <w:kinsoku/>
        <w:wordWrap/>
        <w:overflowPunct/>
        <w:topLinePunct w:val="0"/>
        <w:autoSpaceDE/>
        <w:autoSpaceDN/>
        <w:bidi w:val="0"/>
        <w:adjustRightInd/>
        <w:snapToGrid/>
        <w:spacing w:line="400" w:lineRule="exact"/>
        <w:ind w:firstLine="463" w:firstLineChars="191"/>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3.2.采购人不集中组织现场踏勘，磋商供应商根据需要自行踏勘现场。</w:t>
      </w:r>
    </w:p>
    <w:p w14:paraId="3ADD1F86">
      <w:pPr>
        <w:keepNext w:val="0"/>
        <w:keepLines w:val="0"/>
        <w:pageBreakBefore w:val="0"/>
        <w:widowControl w:val="0"/>
        <w:kinsoku/>
        <w:wordWrap/>
        <w:overflowPunct/>
        <w:topLinePunct w:val="0"/>
        <w:autoSpaceDE/>
        <w:autoSpaceDN/>
        <w:bidi w:val="0"/>
        <w:adjustRightInd/>
        <w:snapToGrid/>
        <w:spacing w:line="400" w:lineRule="exact"/>
        <w:ind w:firstLine="463" w:firstLineChars="191"/>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3.3.磋商供应商可以踏勘为目的自行进入采购人的项目现场，但供应商不得因此使采购人承担有关的责任和蒙受损失，供应商应承担踏勘现场的责任和风险。</w:t>
      </w:r>
    </w:p>
    <w:p w14:paraId="7DAA9155">
      <w:pPr>
        <w:keepNext w:val="0"/>
        <w:keepLines w:val="0"/>
        <w:pageBreakBefore w:val="0"/>
        <w:widowControl w:val="0"/>
        <w:kinsoku/>
        <w:wordWrap/>
        <w:overflowPunct/>
        <w:topLinePunct w:val="0"/>
        <w:autoSpaceDE/>
        <w:autoSpaceDN/>
        <w:bidi w:val="0"/>
        <w:adjustRightInd/>
        <w:snapToGrid/>
        <w:spacing w:line="400" w:lineRule="exact"/>
        <w:ind w:firstLine="463" w:firstLineChars="191"/>
        <w:textAlignment w:val="auto"/>
        <w:outlineLvl w:val="9"/>
        <w:rPr>
          <w:rFonts w:hint="eastAsia" w:ascii="宋体" w:hAnsi="宋体" w:eastAsia="宋体" w:cs="宋体"/>
          <w:b/>
          <w:color w:val="auto"/>
          <w:sz w:val="24"/>
          <w:szCs w:val="24"/>
          <w:highlight w:val="none"/>
        </w:rPr>
      </w:pPr>
      <w:bookmarkStart w:id="67" w:name="_Toc32314"/>
      <w:bookmarkStart w:id="68" w:name="_Toc28221"/>
      <w:r>
        <w:rPr>
          <w:rFonts w:hint="eastAsia" w:ascii="宋体" w:hAnsi="宋体" w:eastAsia="宋体" w:cs="宋体"/>
          <w:b/>
          <w:color w:val="auto"/>
          <w:sz w:val="24"/>
          <w:szCs w:val="24"/>
          <w:highlight w:val="none"/>
        </w:rPr>
        <w:t>4.磋商费用</w:t>
      </w:r>
      <w:bookmarkEnd w:id="67"/>
      <w:bookmarkEnd w:id="68"/>
    </w:p>
    <w:p w14:paraId="7B18B6F6">
      <w:pPr>
        <w:keepNext w:val="0"/>
        <w:keepLines w:val="0"/>
        <w:pageBreakBefore w:val="0"/>
        <w:widowControl w:val="0"/>
        <w:kinsoku/>
        <w:wordWrap/>
        <w:overflowPunct/>
        <w:topLinePunct w:val="0"/>
        <w:autoSpaceDE/>
        <w:autoSpaceDN/>
        <w:bidi w:val="0"/>
        <w:adjustRightInd/>
        <w:snapToGrid/>
        <w:spacing w:line="400" w:lineRule="exact"/>
        <w:ind w:firstLine="463" w:firstLineChars="191"/>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4.1.磋商供应商应自行承担所有与编写和提交磋商响应文件有关的费用，不论磋商结果如何，采购人和采购代理机构在任何情况下无义务和责任承担此类费用。</w:t>
      </w:r>
    </w:p>
    <w:p w14:paraId="3720D1A2">
      <w:pPr>
        <w:keepNext w:val="0"/>
        <w:keepLines w:val="0"/>
        <w:pageBreakBefore w:val="0"/>
        <w:widowControl w:val="0"/>
        <w:kinsoku/>
        <w:wordWrap/>
        <w:overflowPunct/>
        <w:topLinePunct w:val="0"/>
        <w:autoSpaceDE/>
        <w:autoSpaceDN/>
        <w:bidi w:val="0"/>
        <w:adjustRightInd/>
        <w:snapToGrid/>
        <w:spacing w:line="400" w:lineRule="exact"/>
        <w:ind w:firstLine="486" w:firstLineChars="200"/>
        <w:jc w:val="left"/>
        <w:textAlignment w:val="auto"/>
        <w:outlineLvl w:val="9"/>
        <w:rPr>
          <w:rFonts w:hint="eastAsia" w:ascii="宋体" w:hAnsi="宋体" w:eastAsia="宋体" w:cs="宋体"/>
          <w:b/>
          <w:color w:val="auto"/>
          <w:sz w:val="24"/>
          <w:szCs w:val="24"/>
          <w:highlight w:val="none"/>
        </w:rPr>
      </w:pPr>
      <w:r>
        <w:rPr>
          <w:rFonts w:hint="eastAsia" w:ascii="宋体" w:hAnsi="宋体" w:eastAsia="宋体" w:cs="宋体"/>
          <w:color w:val="auto"/>
          <w:sz w:val="24"/>
          <w:szCs w:val="24"/>
          <w:highlight w:val="none"/>
        </w:rPr>
        <w:t>4.2.根据文件前附表的相关规定，本次采购磋商活动的代理费由中标人缴纳。</w:t>
      </w:r>
    </w:p>
    <w:p w14:paraId="0F6E4E49">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1"/>
        <w:rPr>
          <w:rFonts w:hint="eastAsia" w:ascii="宋体" w:hAnsi="宋体" w:eastAsia="宋体" w:cs="宋体"/>
          <w:b/>
          <w:color w:val="auto"/>
          <w:sz w:val="28"/>
          <w:szCs w:val="28"/>
          <w:highlight w:val="none"/>
        </w:rPr>
      </w:pPr>
      <w:bookmarkStart w:id="69" w:name="_Toc2400"/>
      <w:bookmarkStart w:id="70" w:name="_Toc30336"/>
      <w:r>
        <w:rPr>
          <w:rFonts w:hint="eastAsia" w:ascii="宋体" w:hAnsi="宋体" w:eastAsia="宋体" w:cs="宋体"/>
          <w:b/>
          <w:color w:val="auto"/>
          <w:sz w:val="28"/>
          <w:szCs w:val="28"/>
          <w:highlight w:val="none"/>
        </w:rPr>
        <w:t>二、磋商文件说明</w:t>
      </w:r>
      <w:bookmarkEnd w:id="69"/>
      <w:bookmarkEnd w:id="70"/>
    </w:p>
    <w:p w14:paraId="66741EF7">
      <w:pPr>
        <w:keepNext w:val="0"/>
        <w:keepLines w:val="0"/>
        <w:pageBreakBefore w:val="0"/>
        <w:widowControl w:val="0"/>
        <w:kinsoku/>
        <w:wordWrap/>
        <w:overflowPunct/>
        <w:topLinePunct w:val="0"/>
        <w:autoSpaceDE/>
        <w:autoSpaceDN/>
        <w:bidi w:val="0"/>
        <w:adjustRightInd/>
        <w:snapToGrid/>
        <w:spacing w:line="400" w:lineRule="exact"/>
        <w:ind w:firstLine="463" w:firstLineChars="191"/>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5.磋商文件的构成</w:t>
      </w:r>
    </w:p>
    <w:p w14:paraId="1304C702">
      <w:pPr>
        <w:keepNext w:val="0"/>
        <w:keepLines w:val="0"/>
        <w:pageBreakBefore w:val="0"/>
        <w:widowControl w:val="0"/>
        <w:kinsoku/>
        <w:wordWrap/>
        <w:overflowPunct/>
        <w:topLinePunct w:val="0"/>
        <w:autoSpaceDE/>
        <w:autoSpaceDN/>
        <w:bidi w:val="0"/>
        <w:adjustRightInd/>
        <w:snapToGrid/>
        <w:spacing w:line="400" w:lineRule="exact"/>
        <w:ind w:firstLine="463" w:firstLineChars="191"/>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5.1.磋商文件主要由下列部分组成：</w:t>
      </w:r>
    </w:p>
    <w:p w14:paraId="157C0BA7">
      <w:pPr>
        <w:keepNext w:val="0"/>
        <w:keepLines w:val="0"/>
        <w:pageBreakBefore w:val="0"/>
        <w:widowControl w:val="0"/>
        <w:kinsoku/>
        <w:wordWrap/>
        <w:overflowPunct/>
        <w:topLinePunct w:val="0"/>
        <w:autoSpaceDE/>
        <w:autoSpaceDN/>
        <w:bidi w:val="0"/>
        <w:adjustRightInd/>
        <w:snapToGrid/>
        <w:spacing w:line="400" w:lineRule="exact"/>
        <w:ind w:firstLine="463" w:firstLineChars="191"/>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第一章  竞争性磋商公告；</w:t>
      </w:r>
    </w:p>
    <w:p w14:paraId="056D69CE">
      <w:pPr>
        <w:keepNext w:val="0"/>
        <w:keepLines w:val="0"/>
        <w:pageBreakBefore w:val="0"/>
        <w:widowControl w:val="0"/>
        <w:kinsoku/>
        <w:wordWrap/>
        <w:overflowPunct/>
        <w:topLinePunct w:val="0"/>
        <w:autoSpaceDE/>
        <w:autoSpaceDN/>
        <w:bidi w:val="0"/>
        <w:adjustRightInd/>
        <w:snapToGrid/>
        <w:spacing w:line="400" w:lineRule="exact"/>
        <w:ind w:firstLine="463" w:firstLineChars="191"/>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第二章  磋商须知；</w:t>
      </w:r>
    </w:p>
    <w:p w14:paraId="30EFDBDE">
      <w:pPr>
        <w:keepNext w:val="0"/>
        <w:keepLines w:val="0"/>
        <w:pageBreakBefore w:val="0"/>
        <w:widowControl w:val="0"/>
        <w:kinsoku/>
        <w:wordWrap/>
        <w:overflowPunct/>
        <w:topLinePunct w:val="0"/>
        <w:autoSpaceDE/>
        <w:autoSpaceDN/>
        <w:bidi w:val="0"/>
        <w:adjustRightInd/>
        <w:snapToGrid/>
        <w:spacing w:line="400" w:lineRule="exact"/>
        <w:ind w:firstLine="463" w:firstLineChars="191"/>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第三章  采购</w:t>
      </w:r>
      <w:r>
        <w:rPr>
          <w:rFonts w:hint="eastAsia" w:ascii="宋体" w:hAnsi="宋体" w:cs="宋体"/>
          <w:color w:val="auto"/>
          <w:sz w:val="24"/>
          <w:szCs w:val="24"/>
          <w:highlight w:val="none"/>
          <w:lang w:eastAsia="zh-CN"/>
        </w:rPr>
        <w:t>需求</w:t>
      </w:r>
      <w:r>
        <w:rPr>
          <w:rFonts w:hint="eastAsia" w:ascii="宋体" w:hAnsi="宋体" w:eastAsia="宋体" w:cs="宋体"/>
          <w:color w:val="auto"/>
          <w:sz w:val="24"/>
          <w:szCs w:val="24"/>
          <w:highlight w:val="none"/>
        </w:rPr>
        <w:t>；</w:t>
      </w:r>
    </w:p>
    <w:p w14:paraId="7CA2ACDC">
      <w:pPr>
        <w:keepNext w:val="0"/>
        <w:keepLines w:val="0"/>
        <w:pageBreakBefore w:val="0"/>
        <w:widowControl w:val="0"/>
        <w:kinsoku/>
        <w:wordWrap/>
        <w:overflowPunct/>
        <w:topLinePunct w:val="0"/>
        <w:autoSpaceDE/>
        <w:autoSpaceDN/>
        <w:bidi w:val="0"/>
        <w:adjustRightInd/>
        <w:snapToGrid/>
        <w:spacing w:line="400" w:lineRule="exact"/>
        <w:ind w:firstLine="463" w:firstLineChars="191"/>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第四章  </w:t>
      </w:r>
      <w:r>
        <w:rPr>
          <w:rFonts w:hint="eastAsia" w:ascii="宋体" w:hAnsi="宋体" w:cs="宋体"/>
          <w:color w:val="auto"/>
          <w:sz w:val="24"/>
          <w:szCs w:val="24"/>
          <w:highlight w:val="none"/>
          <w:lang w:eastAsia="zh-CN"/>
        </w:rPr>
        <w:t>合同</w:t>
      </w:r>
      <w:r>
        <w:rPr>
          <w:rFonts w:hint="eastAsia" w:ascii="宋体" w:hAnsi="宋体" w:eastAsia="宋体" w:cs="宋体"/>
          <w:color w:val="auto"/>
          <w:sz w:val="24"/>
          <w:szCs w:val="24"/>
          <w:highlight w:val="none"/>
        </w:rPr>
        <w:t>；</w:t>
      </w:r>
    </w:p>
    <w:p w14:paraId="35BA7121">
      <w:pPr>
        <w:keepNext w:val="0"/>
        <w:keepLines w:val="0"/>
        <w:pageBreakBefore w:val="0"/>
        <w:widowControl w:val="0"/>
        <w:kinsoku/>
        <w:wordWrap/>
        <w:overflowPunct/>
        <w:topLinePunct w:val="0"/>
        <w:autoSpaceDE/>
        <w:autoSpaceDN/>
        <w:bidi w:val="0"/>
        <w:adjustRightInd/>
        <w:snapToGrid/>
        <w:spacing w:line="400" w:lineRule="exact"/>
        <w:ind w:firstLine="463" w:firstLineChars="191"/>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第五章  磋商响应文件格式；</w:t>
      </w:r>
    </w:p>
    <w:p w14:paraId="418A127E">
      <w:pPr>
        <w:keepNext w:val="0"/>
        <w:keepLines w:val="0"/>
        <w:pageBreakBefore w:val="0"/>
        <w:widowControl w:val="0"/>
        <w:kinsoku/>
        <w:wordWrap/>
        <w:overflowPunct/>
        <w:topLinePunct w:val="0"/>
        <w:autoSpaceDE/>
        <w:autoSpaceDN/>
        <w:bidi w:val="0"/>
        <w:adjustRightInd/>
        <w:snapToGrid/>
        <w:spacing w:line="400" w:lineRule="exact"/>
        <w:ind w:firstLine="463" w:firstLineChars="191"/>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5.2.参加磋商的供应商应认真阅读磋商文件中所有的条款和要求。如果参加磋商的供应商没有按照磋商文件要求提交全部资料，或者磋商响应文件没有对磋商文件在各方面都做出实质性响应，其风险应由参加磋商的供应商承担。根据有关条款规定，没有实质性响应磋商文件要求的磋商将被拒绝。</w:t>
      </w:r>
    </w:p>
    <w:p w14:paraId="58A973B3">
      <w:pPr>
        <w:keepNext w:val="0"/>
        <w:keepLines w:val="0"/>
        <w:pageBreakBefore w:val="0"/>
        <w:widowControl w:val="0"/>
        <w:kinsoku/>
        <w:wordWrap/>
        <w:overflowPunct/>
        <w:topLinePunct w:val="0"/>
        <w:autoSpaceDE/>
        <w:autoSpaceDN/>
        <w:bidi w:val="0"/>
        <w:adjustRightInd/>
        <w:snapToGrid/>
        <w:spacing w:line="400" w:lineRule="exact"/>
        <w:ind w:firstLine="463" w:firstLineChars="191"/>
        <w:textAlignment w:val="auto"/>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6.磋商文件答疑</w:t>
      </w:r>
    </w:p>
    <w:p w14:paraId="62986EDE">
      <w:pPr>
        <w:keepNext w:val="0"/>
        <w:keepLines w:val="0"/>
        <w:pageBreakBefore w:val="0"/>
        <w:widowControl w:val="0"/>
        <w:kinsoku/>
        <w:wordWrap/>
        <w:overflowPunct/>
        <w:topLinePunct w:val="0"/>
        <w:autoSpaceDE/>
        <w:autoSpaceDN/>
        <w:bidi w:val="0"/>
        <w:adjustRightInd/>
        <w:snapToGrid/>
        <w:spacing w:line="400" w:lineRule="exact"/>
        <w:ind w:firstLine="486"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供应商对磋商文件有疑问的，应在磋商文件规定的提问截止时间前通过邮箱：</w:t>
      </w:r>
      <w:r>
        <w:rPr>
          <w:rFonts w:hint="eastAsia" w:ascii="宋体" w:hAnsi="宋体" w:cs="宋体"/>
          <w:color w:val="auto"/>
          <w:sz w:val="24"/>
          <w:szCs w:val="24"/>
          <w:highlight w:val="none"/>
          <w:lang w:val="en-US" w:eastAsia="zh-CN"/>
        </w:rPr>
        <w:t>465894672</w:t>
      </w:r>
      <w:r>
        <w:rPr>
          <w:rFonts w:hint="eastAsia" w:ascii="宋体" w:hAnsi="宋体" w:eastAsia="宋体" w:cs="宋体"/>
          <w:color w:val="auto"/>
          <w:sz w:val="24"/>
          <w:szCs w:val="24"/>
          <w:highlight w:val="none"/>
        </w:rPr>
        <w:t>@qq.com提出。采购代理机构将在</w:t>
      </w:r>
      <w:r>
        <w:rPr>
          <w:rFonts w:hint="eastAsia" w:ascii="宋体" w:hAnsi="宋体" w:eastAsia="宋体" w:cs="宋体"/>
          <w:color w:val="auto"/>
          <w:sz w:val="24"/>
          <w:szCs w:val="24"/>
          <w:highlight w:val="none"/>
          <w:lang w:eastAsia="zh-CN"/>
        </w:rPr>
        <w:t>枝江市安福寺镇政务公开网</w:t>
      </w:r>
      <w:r>
        <w:rPr>
          <w:rFonts w:hint="eastAsia" w:ascii="宋体" w:hAnsi="宋体" w:eastAsia="宋体" w:cs="宋体"/>
          <w:color w:val="auto"/>
          <w:sz w:val="24"/>
          <w:szCs w:val="24"/>
          <w:highlight w:val="none"/>
        </w:rPr>
        <w:t>上发布答疑。对于在磋商文件规定的提问截止时间前未对磋商文件提出异议的，视其完全接受磋商文件内容，并对在此时间之后提出的质疑将不予受理。</w:t>
      </w:r>
    </w:p>
    <w:p w14:paraId="77B19A74">
      <w:pPr>
        <w:keepNext w:val="0"/>
        <w:keepLines w:val="0"/>
        <w:pageBreakBefore w:val="0"/>
        <w:widowControl w:val="0"/>
        <w:kinsoku/>
        <w:wordWrap/>
        <w:overflowPunct/>
        <w:topLinePunct w:val="0"/>
        <w:autoSpaceDE/>
        <w:autoSpaceDN/>
        <w:bidi w:val="0"/>
        <w:adjustRightInd/>
        <w:snapToGrid/>
        <w:spacing w:line="400" w:lineRule="exact"/>
        <w:ind w:firstLine="486" w:firstLineChars="200"/>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7.磋商文件的澄清修改</w:t>
      </w:r>
    </w:p>
    <w:p w14:paraId="1B9988BD">
      <w:pPr>
        <w:keepNext w:val="0"/>
        <w:keepLines w:val="0"/>
        <w:pageBreakBefore w:val="0"/>
        <w:widowControl w:val="0"/>
        <w:kinsoku/>
        <w:wordWrap/>
        <w:overflowPunct/>
        <w:topLinePunct w:val="0"/>
        <w:autoSpaceDE/>
        <w:autoSpaceDN/>
        <w:bidi w:val="0"/>
        <w:adjustRightInd/>
        <w:snapToGrid/>
        <w:spacing w:line="400" w:lineRule="exact"/>
        <w:ind w:firstLine="486"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采购人出于对所提出问题的澄清或其它考虑，可以对磋商文件以补充文件的形式进行修改，修改后的补充文件将通过</w:t>
      </w:r>
      <w:r>
        <w:rPr>
          <w:rFonts w:hint="eastAsia" w:ascii="宋体" w:hAnsi="宋体" w:eastAsia="宋体" w:cs="宋体"/>
          <w:color w:val="auto"/>
          <w:sz w:val="24"/>
          <w:szCs w:val="24"/>
          <w:highlight w:val="none"/>
          <w:lang w:eastAsia="zh-CN"/>
        </w:rPr>
        <w:t>枝江市安福寺镇政务公开网</w:t>
      </w:r>
      <w:r>
        <w:rPr>
          <w:rFonts w:hint="eastAsia" w:ascii="宋体" w:hAnsi="宋体" w:eastAsia="宋体" w:cs="宋体"/>
          <w:color w:val="auto"/>
          <w:sz w:val="24"/>
          <w:szCs w:val="24"/>
          <w:highlight w:val="none"/>
        </w:rPr>
        <w:t>向所有供应商公布，修改后的补充文件是磋商文件的组成部分，对供应商具有约束力。任何口头、电话等非正式的解答均视为无效。</w:t>
      </w:r>
    </w:p>
    <w:p w14:paraId="377ADE05">
      <w:pPr>
        <w:keepNext w:val="0"/>
        <w:keepLines w:val="0"/>
        <w:pageBreakBefore w:val="0"/>
        <w:widowControl w:val="0"/>
        <w:kinsoku/>
        <w:wordWrap/>
        <w:overflowPunct/>
        <w:topLinePunct w:val="0"/>
        <w:autoSpaceDE/>
        <w:autoSpaceDN/>
        <w:bidi w:val="0"/>
        <w:adjustRightInd/>
        <w:snapToGrid/>
        <w:spacing w:line="400" w:lineRule="exact"/>
        <w:ind w:firstLine="486" w:firstLineChars="200"/>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8、磋商响应文件的编写</w:t>
      </w:r>
    </w:p>
    <w:p w14:paraId="255403B4">
      <w:pPr>
        <w:keepNext w:val="0"/>
        <w:keepLines w:val="0"/>
        <w:pageBreakBefore w:val="0"/>
        <w:widowControl w:val="0"/>
        <w:kinsoku/>
        <w:wordWrap/>
        <w:overflowPunct/>
        <w:topLinePunct w:val="0"/>
        <w:autoSpaceDE/>
        <w:autoSpaceDN/>
        <w:bidi w:val="0"/>
        <w:adjustRightInd/>
        <w:snapToGrid/>
        <w:spacing w:line="400" w:lineRule="exact"/>
        <w:ind w:firstLine="486"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8.1.供应商应仔细阅读磋商文件的所有内容，按磋商文件的要求编制磋商响应文件，并保证所提供的全部资料的真实性，以使其磋商响应文件可以对磋商文件作出实质性响应，否则，其磋商响应文件有可能被拒绝。供应商编写的磋商响应文件应包括下列部分：</w:t>
      </w:r>
    </w:p>
    <w:p w14:paraId="3E0B78F4">
      <w:pPr>
        <w:keepNext w:val="0"/>
        <w:keepLines w:val="0"/>
        <w:pageBreakBefore w:val="0"/>
        <w:widowControl w:val="0"/>
        <w:kinsoku/>
        <w:wordWrap/>
        <w:overflowPunct/>
        <w:topLinePunct w:val="0"/>
        <w:autoSpaceDE/>
        <w:autoSpaceDN/>
        <w:bidi w:val="0"/>
        <w:adjustRightInd/>
        <w:snapToGrid/>
        <w:spacing w:line="400" w:lineRule="exact"/>
        <w:ind w:firstLine="486"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8.1.1供应商的磋商响应文件应包括下列内容：</w:t>
      </w:r>
    </w:p>
    <w:p w14:paraId="7ED59DD4">
      <w:pPr>
        <w:keepNext w:val="0"/>
        <w:keepLines w:val="0"/>
        <w:pageBreakBefore w:val="0"/>
        <w:widowControl w:val="0"/>
        <w:kinsoku/>
        <w:wordWrap/>
        <w:overflowPunct/>
        <w:topLinePunct w:val="0"/>
        <w:autoSpaceDE/>
        <w:autoSpaceDN/>
        <w:bidi w:val="0"/>
        <w:adjustRightInd/>
        <w:snapToGrid/>
        <w:spacing w:line="400" w:lineRule="exact"/>
        <w:ind w:firstLine="486"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1、竞争性磋商响应函； </w:t>
      </w:r>
    </w:p>
    <w:p w14:paraId="31D0D48A">
      <w:pPr>
        <w:keepNext w:val="0"/>
        <w:keepLines w:val="0"/>
        <w:pageBreakBefore w:val="0"/>
        <w:widowControl w:val="0"/>
        <w:kinsoku/>
        <w:wordWrap/>
        <w:overflowPunct/>
        <w:topLinePunct w:val="0"/>
        <w:autoSpaceDE/>
        <w:autoSpaceDN/>
        <w:bidi w:val="0"/>
        <w:adjustRightInd/>
        <w:snapToGrid/>
        <w:spacing w:line="400" w:lineRule="exact"/>
        <w:ind w:firstLine="486"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2、磋商供应商资格证明文件： </w:t>
      </w:r>
    </w:p>
    <w:p w14:paraId="2B822DB8">
      <w:pPr>
        <w:keepNext w:val="0"/>
        <w:keepLines w:val="0"/>
        <w:pageBreakBefore w:val="0"/>
        <w:widowControl w:val="0"/>
        <w:kinsoku/>
        <w:wordWrap/>
        <w:overflowPunct/>
        <w:topLinePunct w:val="0"/>
        <w:autoSpaceDE/>
        <w:autoSpaceDN/>
        <w:bidi w:val="0"/>
        <w:adjustRightInd/>
        <w:snapToGrid/>
        <w:spacing w:line="400" w:lineRule="exact"/>
        <w:ind w:firstLine="486"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（1）法人代表人资格证明文件</w:t>
      </w:r>
    </w:p>
    <w:p w14:paraId="0D8CC497">
      <w:pPr>
        <w:keepNext w:val="0"/>
        <w:keepLines w:val="0"/>
        <w:pageBreakBefore w:val="0"/>
        <w:widowControl w:val="0"/>
        <w:kinsoku/>
        <w:wordWrap/>
        <w:overflowPunct/>
        <w:topLinePunct w:val="0"/>
        <w:autoSpaceDE/>
        <w:autoSpaceDN/>
        <w:bidi w:val="0"/>
        <w:adjustRightInd/>
        <w:snapToGrid/>
        <w:spacing w:line="400" w:lineRule="exact"/>
        <w:ind w:firstLine="486"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（2）法定代表人授权书</w:t>
      </w:r>
    </w:p>
    <w:p w14:paraId="1941FE50">
      <w:pPr>
        <w:keepNext w:val="0"/>
        <w:keepLines w:val="0"/>
        <w:pageBreakBefore w:val="0"/>
        <w:widowControl w:val="0"/>
        <w:kinsoku/>
        <w:wordWrap/>
        <w:overflowPunct/>
        <w:topLinePunct w:val="0"/>
        <w:autoSpaceDE/>
        <w:autoSpaceDN/>
        <w:bidi w:val="0"/>
        <w:adjustRightInd/>
        <w:snapToGrid/>
        <w:spacing w:line="400" w:lineRule="exact"/>
        <w:ind w:firstLine="486"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（3）法人或者其他组织的营业执照等证明文件，自然人的身份证明；</w:t>
      </w:r>
    </w:p>
    <w:p w14:paraId="3B80B4E2">
      <w:pPr>
        <w:keepNext w:val="0"/>
        <w:keepLines w:val="0"/>
        <w:pageBreakBefore w:val="0"/>
        <w:widowControl w:val="0"/>
        <w:kinsoku/>
        <w:wordWrap/>
        <w:overflowPunct/>
        <w:topLinePunct w:val="0"/>
        <w:autoSpaceDE/>
        <w:autoSpaceDN/>
        <w:bidi w:val="0"/>
        <w:adjustRightInd/>
        <w:snapToGrid/>
        <w:spacing w:line="400" w:lineRule="exact"/>
        <w:ind w:firstLine="486"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（4）具备法律、行政法规规定的其他条件的证明材料；</w:t>
      </w:r>
    </w:p>
    <w:p w14:paraId="3DB72F08">
      <w:pPr>
        <w:keepNext w:val="0"/>
        <w:keepLines w:val="0"/>
        <w:pageBreakBefore w:val="0"/>
        <w:widowControl w:val="0"/>
        <w:kinsoku/>
        <w:wordWrap/>
        <w:overflowPunct/>
        <w:topLinePunct w:val="0"/>
        <w:autoSpaceDE/>
        <w:autoSpaceDN/>
        <w:bidi w:val="0"/>
        <w:adjustRightInd/>
        <w:snapToGrid/>
        <w:spacing w:line="400" w:lineRule="exact"/>
        <w:ind w:firstLine="486"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（5）磋商文件要求或供应商认为需提供的其它相关资格证明材料。 </w:t>
      </w:r>
    </w:p>
    <w:p w14:paraId="024F29D0">
      <w:pPr>
        <w:keepNext w:val="0"/>
        <w:keepLines w:val="0"/>
        <w:pageBreakBefore w:val="0"/>
        <w:widowControl w:val="0"/>
        <w:kinsoku/>
        <w:wordWrap/>
        <w:overflowPunct/>
        <w:topLinePunct w:val="0"/>
        <w:autoSpaceDE/>
        <w:autoSpaceDN/>
        <w:bidi w:val="0"/>
        <w:adjustRightInd/>
        <w:snapToGrid/>
        <w:spacing w:line="400" w:lineRule="exact"/>
        <w:ind w:firstLine="486"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3、磋商报价表；</w:t>
      </w:r>
    </w:p>
    <w:p w14:paraId="5878AAAD">
      <w:pPr>
        <w:keepNext w:val="0"/>
        <w:keepLines w:val="0"/>
        <w:pageBreakBefore w:val="0"/>
        <w:widowControl w:val="0"/>
        <w:kinsoku/>
        <w:wordWrap/>
        <w:overflowPunct/>
        <w:topLinePunct w:val="0"/>
        <w:autoSpaceDE/>
        <w:autoSpaceDN/>
        <w:bidi w:val="0"/>
        <w:adjustRightInd/>
        <w:snapToGrid/>
        <w:spacing w:line="400" w:lineRule="exact"/>
        <w:ind w:firstLine="486"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r>
        <w:rPr>
          <w:rFonts w:hint="eastAsia" w:ascii="宋体" w:hAnsi="宋体" w:cs="宋体"/>
          <w:color w:val="auto"/>
          <w:sz w:val="24"/>
          <w:szCs w:val="24"/>
          <w:highlight w:val="none"/>
          <w:lang w:eastAsia="zh-CN"/>
        </w:rPr>
        <w:t>分项</w:t>
      </w:r>
      <w:r>
        <w:rPr>
          <w:rFonts w:hint="eastAsia" w:ascii="宋体" w:hAnsi="宋体" w:eastAsia="宋体" w:cs="宋体"/>
          <w:color w:val="auto"/>
          <w:sz w:val="24"/>
          <w:szCs w:val="24"/>
          <w:highlight w:val="none"/>
        </w:rPr>
        <w:t>报价明细表</w:t>
      </w:r>
    </w:p>
    <w:p w14:paraId="6B9DBEE5">
      <w:pPr>
        <w:keepNext w:val="0"/>
        <w:keepLines w:val="0"/>
        <w:pageBreakBefore w:val="0"/>
        <w:widowControl w:val="0"/>
        <w:kinsoku/>
        <w:wordWrap/>
        <w:overflowPunct/>
        <w:topLinePunct w:val="0"/>
        <w:autoSpaceDE/>
        <w:autoSpaceDN/>
        <w:bidi w:val="0"/>
        <w:adjustRightInd/>
        <w:snapToGrid/>
        <w:spacing w:line="400" w:lineRule="exact"/>
        <w:ind w:firstLine="486"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5、第二次报价表；</w:t>
      </w:r>
    </w:p>
    <w:p w14:paraId="2263DF43">
      <w:pPr>
        <w:keepNext w:val="0"/>
        <w:keepLines w:val="0"/>
        <w:pageBreakBefore w:val="0"/>
        <w:widowControl w:val="0"/>
        <w:kinsoku/>
        <w:wordWrap/>
        <w:overflowPunct/>
        <w:topLinePunct w:val="0"/>
        <w:autoSpaceDE/>
        <w:autoSpaceDN/>
        <w:bidi w:val="0"/>
        <w:adjustRightInd/>
        <w:snapToGrid/>
        <w:spacing w:line="400" w:lineRule="exact"/>
        <w:ind w:firstLine="486"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6、供应商资格声明承诺函；</w:t>
      </w:r>
    </w:p>
    <w:p w14:paraId="0AC50B25">
      <w:pPr>
        <w:keepNext w:val="0"/>
        <w:keepLines w:val="0"/>
        <w:pageBreakBefore w:val="0"/>
        <w:widowControl w:val="0"/>
        <w:kinsoku/>
        <w:wordWrap/>
        <w:overflowPunct/>
        <w:topLinePunct w:val="0"/>
        <w:autoSpaceDE/>
        <w:autoSpaceDN/>
        <w:bidi w:val="0"/>
        <w:adjustRightInd/>
        <w:snapToGrid/>
        <w:spacing w:line="400" w:lineRule="exact"/>
        <w:ind w:firstLine="486"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7、近三年类似项目的业绩及相关证明资料； </w:t>
      </w:r>
    </w:p>
    <w:p w14:paraId="421FF316">
      <w:pPr>
        <w:keepNext w:val="0"/>
        <w:keepLines w:val="0"/>
        <w:pageBreakBefore w:val="0"/>
        <w:widowControl w:val="0"/>
        <w:kinsoku/>
        <w:wordWrap/>
        <w:overflowPunct/>
        <w:topLinePunct w:val="0"/>
        <w:autoSpaceDE/>
        <w:autoSpaceDN/>
        <w:bidi w:val="0"/>
        <w:adjustRightInd/>
        <w:snapToGrid/>
        <w:spacing w:line="400" w:lineRule="exact"/>
        <w:ind w:firstLine="486" w:firstLineChars="200"/>
        <w:jc w:val="left"/>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8</w:t>
      </w:r>
      <w:r>
        <w:rPr>
          <w:rFonts w:hint="eastAsia" w:ascii="宋体" w:hAnsi="宋体" w:eastAsia="宋体" w:cs="宋体"/>
          <w:color w:val="auto"/>
          <w:sz w:val="24"/>
          <w:szCs w:val="24"/>
          <w:highlight w:val="none"/>
        </w:rPr>
        <w:t>、信用信息查询记录；</w:t>
      </w:r>
    </w:p>
    <w:p w14:paraId="09751BBB">
      <w:pPr>
        <w:keepNext w:val="0"/>
        <w:keepLines w:val="0"/>
        <w:pageBreakBefore w:val="0"/>
        <w:widowControl w:val="0"/>
        <w:kinsoku/>
        <w:wordWrap/>
        <w:overflowPunct/>
        <w:topLinePunct w:val="0"/>
        <w:autoSpaceDE/>
        <w:autoSpaceDN/>
        <w:bidi w:val="0"/>
        <w:adjustRightInd/>
        <w:snapToGrid/>
        <w:spacing w:line="400" w:lineRule="exact"/>
        <w:ind w:firstLine="486" w:firstLineChars="200"/>
        <w:jc w:val="left"/>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9</w:t>
      </w:r>
      <w:r>
        <w:rPr>
          <w:rFonts w:hint="eastAsia" w:ascii="宋体" w:hAnsi="宋体" w:eastAsia="宋体" w:cs="宋体"/>
          <w:color w:val="auto"/>
          <w:sz w:val="24"/>
          <w:szCs w:val="24"/>
          <w:highlight w:val="none"/>
        </w:rPr>
        <w:t>、中小企业声明函；</w:t>
      </w:r>
    </w:p>
    <w:p w14:paraId="765B8B70">
      <w:pPr>
        <w:keepNext w:val="0"/>
        <w:keepLines w:val="0"/>
        <w:pageBreakBefore w:val="0"/>
        <w:widowControl w:val="0"/>
        <w:kinsoku/>
        <w:wordWrap/>
        <w:overflowPunct/>
        <w:topLinePunct w:val="0"/>
        <w:autoSpaceDE/>
        <w:autoSpaceDN/>
        <w:bidi w:val="0"/>
        <w:adjustRightInd/>
        <w:snapToGrid/>
        <w:spacing w:line="400" w:lineRule="exact"/>
        <w:ind w:firstLine="486"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cs="宋体"/>
          <w:color w:val="auto"/>
          <w:sz w:val="24"/>
          <w:szCs w:val="24"/>
          <w:highlight w:val="none"/>
          <w:lang w:val="en-US" w:eastAsia="zh-CN"/>
        </w:rPr>
        <w:t>0</w:t>
      </w:r>
      <w:r>
        <w:rPr>
          <w:rFonts w:hint="eastAsia" w:ascii="宋体" w:hAnsi="宋体" w:eastAsia="宋体" w:cs="宋体"/>
          <w:color w:val="auto"/>
          <w:sz w:val="24"/>
          <w:szCs w:val="24"/>
          <w:highlight w:val="none"/>
        </w:rPr>
        <w:t xml:space="preserve">、本竞争性磋商文件要求提供的其他资料和需要说明的问题； </w:t>
      </w:r>
    </w:p>
    <w:p w14:paraId="5B1065ED">
      <w:pPr>
        <w:keepNext w:val="0"/>
        <w:keepLines w:val="0"/>
        <w:pageBreakBefore w:val="0"/>
        <w:widowControl w:val="0"/>
        <w:kinsoku/>
        <w:wordWrap/>
        <w:overflowPunct/>
        <w:topLinePunct w:val="0"/>
        <w:autoSpaceDE/>
        <w:autoSpaceDN/>
        <w:bidi w:val="0"/>
        <w:adjustRightInd/>
        <w:snapToGrid/>
        <w:spacing w:line="400" w:lineRule="exact"/>
        <w:ind w:firstLine="486"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cs="宋体"/>
          <w:color w:val="auto"/>
          <w:sz w:val="24"/>
          <w:szCs w:val="24"/>
          <w:highlight w:val="none"/>
          <w:lang w:val="en-US" w:eastAsia="zh-CN"/>
        </w:rPr>
        <w:t>1</w:t>
      </w:r>
      <w:r>
        <w:rPr>
          <w:rFonts w:hint="eastAsia" w:ascii="宋体" w:hAnsi="宋体" w:eastAsia="宋体" w:cs="宋体"/>
          <w:color w:val="auto"/>
          <w:sz w:val="24"/>
          <w:szCs w:val="24"/>
          <w:highlight w:val="none"/>
        </w:rPr>
        <w:t xml:space="preserve">、磋商供应商认为需要提供的有关资料。 </w:t>
      </w:r>
    </w:p>
    <w:p w14:paraId="51F2DB73">
      <w:pPr>
        <w:keepNext w:val="0"/>
        <w:keepLines w:val="0"/>
        <w:pageBreakBefore w:val="0"/>
        <w:widowControl w:val="0"/>
        <w:kinsoku/>
        <w:wordWrap/>
        <w:overflowPunct/>
        <w:topLinePunct w:val="0"/>
        <w:autoSpaceDE/>
        <w:autoSpaceDN/>
        <w:bidi w:val="0"/>
        <w:adjustRightInd/>
        <w:snapToGrid/>
        <w:spacing w:line="400" w:lineRule="exact"/>
        <w:ind w:firstLine="486" w:firstLineChars="200"/>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 xml:space="preserve">8.2.磋商响应文件的份数和签署 </w:t>
      </w:r>
    </w:p>
    <w:p w14:paraId="72BA809B">
      <w:pPr>
        <w:keepNext w:val="0"/>
        <w:keepLines w:val="0"/>
        <w:pageBreakBefore w:val="0"/>
        <w:widowControl w:val="0"/>
        <w:kinsoku/>
        <w:wordWrap/>
        <w:overflowPunct/>
        <w:topLinePunct w:val="0"/>
        <w:autoSpaceDE/>
        <w:autoSpaceDN/>
        <w:bidi w:val="0"/>
        <w:adjustRightInd/>
        <w:snapToGrid/>
        <w:spacing w:line="400" w:lineRule="exact"/>
        <w:ind w:firstLine="486"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8.2.1供应商应提交竞争性磋商响应文件正本一份，副本一份</w:t>
      </w:r>
      <w:r>
        <w:rPr>
          <w:rFonts w:hint="eastAsia" w:ascii="宋体" w:hAnsi="宋体" w:eastAsia="宋体" w:cs="宋体"/>
          <w:color w:val="auto"/>
          <w:sz w:val="24"/>
          <w:szCs w:val="24"/>
          <w:highlight w:val="none"/>
          <w:lang w:eastAsia="zh-CN"/>
        </w:rPr>
        <w:t>，电子版（</w:t>
      </w:r>
      <w:r>
        <w:rPr>
          <w:rFonts w:hint="eastAsia" w:ascii="宋体" w:hAnsi="宋体" w:eastAsia="宋体" w:cs="宋体"/>
          <w:color w:val="auto"/>
          <w:sz w:val="24"/>
          <w:szCs w:val="24"/>
          <w:highlight w:val="none"/>
          <w:lang w:val="en-US" w:eastAsia="zh-CN"/>
        </w:rPr>
        <w:t>U盘</w:t>
      </w:r>
      <w:r>
        <w:rPr>
          <w:rFonts w:hint="eastAsia" w:ascii="宋体" w:hAnsi="宋体" w:eastAsia="宋体" w:cs="宋体"/>
          <w:color w:val="auto"/>
          <w:sz w:val="24"/>
          <w:szCs w:val="24"/>
          <w:highlight w:val="none"/>
          <w:lang w:eastAsia="zh-CN"/>
        </w:rPr>
        <w:t>）一份</w:t>
      </w:r>
      <w:r>
        <w:rPr>
          <w:rFonts w:hint="eastAsia" w:ascii="宋体" w:hAnsi="宋体" w:eastAsia="宋体" w:cs="宋体"/>
          <w:color w:val="auto"/>
          <w:sz w:val="24"/>
          <w:szCs w:val="24"/>
          <w:highlight w:val="none"/>
        </w:rPr>
        <w:t>。其正、副本都应以胶印的方式装订成册，不可活页装订，并在竞争性磋商响应文件封面清楚的注明“正本”或“副本”。</w:t>
      </w:r>
    </w:p>
    <w:p w14:paraId="11410B25">
      <w:pPr>
        <w:keepNext w:val="0"/>
        <w:keepLines w:val="0"/>
        <w:pageBreakBefore w:val="0"/>
        <w:widowControl w:val="0"/>
        <w:kinsoku/>
        <w:wordWrap/>
        <w:overflowPunct/>
        <w:topLinePunct w:val="0"/>
        <w:autoSpaceDE/>
        <w:autoSpaceDN/>
        <w:bidi w:val="0"/>
        <w:adjustRightInd/>
        <w:snapToGrid/>
        <w:spacing w:line="400" w:lineRule="exact"/>
        <w:ind w:firstLine="486"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8.2.2供应商应根据磋商文件要求，在竞争性磋商响应文件适当的位置填写供应商全称、加盖供应商行政公章、签署法定代表人或法定代表人授权代表的全名。</w:t>
      </w:r>
    </w:p>
    <w:p w14:paraId="13775A12">
      <w:pPr>
        <w:keepNext w:val="0"/>
        <w:keepLines w:val="0"/>
        <w:pageBreakBefore w:val="0"/>
        <w:widowControl w:val="0"/>
        <w:kinsoku/>
        <w:wordWrap/>
        <w:overflowPunct/>
        <w:topLinePunct w:val="0"/>
        <w:autoSpaceDE/>
        <w:autoSpaceDN/>
        <w:bidi w:val="0"/>
        <w:adjustRightInd/>
        <w:snapToGrid/>
        <w:spacing w:line="400" w:lineRule="exact"/>
        <w:ind w:firstLine="486"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8.2.3竞争性磋商响应文件的签署人如果是由法定代表人授权代表签名，则必须出具法定代表人授权委托书，并将其附在竞争性磋商响应文件中。</w:t>
      </w:r>
    </w:p>
    <w:p w14:paraId="7C54131D">
      <w:pPr>
        <w:keepNext w:val="0"/>
        <w:keepLines w:val="0"/>
        <w:pageBreakBefore w:val="0"/>
        <w:widowControl w:val="0"/>
        <w:kinsoku/>
        <w:wordWrap/>
        <w:overflowPunct/>
        <w:topLinePunct w:val="0"/>
        <w:autoSpaceDE/>
        <w:autoSpaceDN/>
        <w:bidi w:val="0"/>
        <w:adjustRightInd/>
        <w:snapToGrid/>
        <w:spacing w:line="400" w:lineRule="exact"/>
        <w:ind w:left="426" w:leftChars="200" w:firstLine="121" w:firstLineChars="50"/>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9</w:t>
      </w:r>
      <w:r>
        <w:rPr>
          <w:rFonts w:hint="eastAsia" w:ascii="宋体" w:hAnsi="宋体" w:eastAsia="宋体" w:cs="宋体"/>
          <w:color w:val="auto"/>
          <w:sz w:val="24"/>
          <w:szCs w:val="24"/>
          <w:highlight w:val="none"/>
        </w:rPr>
        <w:t>、</w:t>
      </w:r>
      <w:r>
        <w:rPr>
          <w:rFonts w:hint="eastAsia" w:ascii="宋体" w:hAnsi="宋体" w:eastAsia="宋体" w:cs="宋体"/>
          <w:b/>
          <w:color w:val="auto"/>
          <w:sz w:val="24"/>
          <w:szCs w:val="24"/>
          <w:highlight w:val="none"/>
        </w:rPr>
        <w:t>磋商响应文件的签署及其它规定</w:t>
      </w:r>
    </w:p>
    <w:p w14:paraId="72640F36">
      <w:pPr>
        <w:keepNext w:val="0"/>
        <w:keepLines w:val="0"/>
        <w:pageBreakBefore w:val="0"/>
        <w:widowControl w:val="0"/>
        <w:kinsoku/>
        <w:wordWrap/>
        <w:overflowPunct/>
        <w:topLinePunct w:val="0"/>
        <w:autoSpaceDE/>
        <w:autoSpaceDN/>
        <w:bidi w:val="0"/>
        <w:adjustRightInd/>
        <w:snapToGrid/>
        <w:spacing w:line="400" w:lineRule="exact"/>
        <w:ind w:left="426" w:leftChars="200" w:firstLine="118" w:firstLineChars="49"/>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9.1.磋商响应文件的签署</w:t>
      </w:r>
    </w:p>
    <w:p w14:paraId="64AECCC6">
      <w:pPr>
        <w:keepNext w:val="0"/>
        <w:keepLines w:val="0"/>
        <w:pageBreakBefore w:val="0"/>
        <w:widowControl w:val="0"/>
        <w:kinsoku/>
        <w:wordWrap/>
        <w:overflowPunct/>
        <w:topLinePunct w:val="0"/>
        <w:autoSpaceDE/>
        <w:autoSpaceDN/>
        <w:bidi w:val="0"/>
        <w:adjustRightInd/>
        <w:snapToGrid/>
        <w:spacing w:line="400" w:lineRule="exact"/>
        <w:ind w:firstLine="486"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9.1.1磋商响应文件中的大写金额和小写金额不一致的，以大写金额为准;</w:t>
      </w:r>
    </w:p>
    <w:p w14:paraId="6EDE54F4">
      <w:pPr>
        <w:keepNext w:val="0"/>
        <w:keepLines w:val="0"/>
        <w:pageBreakBefore w:val="0"/>
        <w:widowControl w:val="0"/>
        <w:kinsoku/>
        <w:wordWrap/>
        <w:overflowPunct/>
        <w:topLinePunct w:val="0"/>
        <w:autoSpaceDE/>
        <w:autoSpaceDN/>
        <w:bidi w:val="0"/>
        <w:adjustRightInd/>
        <w:snapToGrid/>
        <w:spacing w:line="400" w:lineRule="exact"/>
        <w:ind w:firstLine="486"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9.1.2总价金额与按单价汇总金额不一致的，以单价金额计算结果为准；单价金额小数点有明显错位的，应以总价为准，并修改单价。</w:t>
      </w:r>
    </w:p>
    <w:p w14:paraId="253B5C91">
      <w:pPr>
        <w:keepNext w:val="0"/>
        <w:keepLines w:val="0"/>
        <w:pageBreakBefore w:val="0"/>
        <w:widowControl w:val="0"/>
        <w:kinsoku/>
        <w:wordWrap/>
        <w:overflowPunct/>
        <w:topLinePunct w:val="0"/>
        <w:autoSpaceDE/>
        <w:autoSpaceDN/>
        <w:bidi w:val="0"/>
        <w:adjustRightInd/>
        <w:snapToGrid/>
        <w:spacing w:line="400" w:lineRule="exact"/>
        <w:ind w:firstLine="486"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9.2.磋商响应文件的语言和计量单位</w:t>
      </w:r>
    </w:p>
    <w:p w14:paraId="67D55548">
      <w:pPr>
        <w:keepNext w:val="0"/>
        <w:keepLines w:val="0"/>
        <w:pageBreakBefore w:val="0"/>
        <w:widowControl w:val="0"/>
        <w:kinsoku/>
        <w:wordWrap/>
        <w:overflowPunct/>
        <w:topLinePunct w:val="0"/>
        <w:autoSpaceDE/>
        <w:autoSpaceDN/>
        <w:bidi w:val="0"/>
        <w:adjustRightInd/>
        <w:snapToGrid/>
        <w:spacing w:line="400" w:lineRule="exact"/>
        <w:ind w:firstLine="486"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9.2.1.参加磋商供应商提交的磋商文件以及参加磋商供应商与采购人和采购人就有关磋商的所有往来信函均应使用简体中文。</w:t>
      </w:r>
    </w:p>
    <w:p w14:paraId="079276D8">
      <w:pPr>
        <w:keepNext w:val="0"/>
        <w:keepLines w:val="0"/>
        <w:pageBreakBefore w:val="0"/>
        <w:widowControl w:val="0"/>
        <w:kinsoku/>
        <w:wordWrap/>
        <w:overflowPunct/>
        <w:topLinePunct w:val="0"/>
        <w:autoSpaceDE/>
        <w:autoSpaceDN/>
        <w:bidi w:val="0"/>
        <w:adjustRightInd/>
        <w:snapToGrid/>
        <w:spacing w:line="400" w:lineRule="exact"/>
        <w:ind w:firstLine="486"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9.2.2.参加磋商供应商所使用的计量单位，应使用国家法定计量单位。</w:t>
      </w:r>
    </w:p>
    <w:p w14:paraId="6BF6CC7B">
      <w:pPr>
        <w:keepNext w:val="0"/>
        <w:keepLines w:val="0"/>
        <w:pageBreakBefore w:val="0"/>
        <w:widowControl w:val="0"/>
        <w:kinsoku/>
        <w:wordWrap/>
        <w:overflowPunct/>
        <w:topLinePunct w:val="0"/>
        <w:autoSpaceDE/>
        <w:autoSpaceDN/>
        <w:bidi w:val="0"/>
        <w:adjustRightInd/>
        <w:snapToGrid/>
        <w:spacing w:line="400" w:lineRule="exact"/>
        <w:ind w:firstLine="486" w:firstLineChars="200"/>
        <w:textAlignment w:val="auto"/>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rPr>
        <w:t>9.3.本项目最高磋商限价为人民币</w:t>
      </w:r>
      <w:r>
        <w:rPr>
          <w:rFonts w:hint="eastAsia" w:ascii="宋体" w:hAnsi="宋体" w:cs="宋体"/>
          <w:b/>
          <w:bCs/>
          <w:color w:val="auto"/>
          <w:sz w:val="24"/>
          <w:szCs w:val="24"/>
          <w:highlight w:val="none"/>
          <w:lang w:val="en-US" w:eastAsia="zh-CN"/>
        </w:rPr>
        <w:t>330030.20元，</w:t>
      </w:r>
      <w:r>
        <w:rPr>
          <w:rFonts w:hint="eastAsia" w:ascii="宋体" w:hAnsi="宋体" w:eastAsia="宋体" w:cs="宋体"/>
          <w:b/>
          <w:bCs/>
          <w:color w:val="auto"/>
          <w:sz w:val="24"/>
          <w:szCs w:val="24"/>
          <w:highlight w:val="none"/>
        </w:rPr>
        <w:t>投标总报价超过最高磋商限价的其投标无效。</w:t>
      </w:r>
    </w:p>
    <w:p w14:paraId="7FCAE7DE">
      <w:pPr>
        <w:keepNext w:val="0"/>
        <w:keepLines w:val="0"/>
        <w:pageBreakBefore w:val="0"/>
        <w:widowControl w:val="0"/>
        <w:kinsoku/>
        <w:wordWrap/>
        <w:overflowPunct/>
        <w:topLinePunct w:val="0"/>
        <w:autoSpaceDE/>
        <w:autoSpaceDN/>
        <w:bidi w:val="0"/>
        <w:adjustRightInd/>
        <w:snapToGrid/>
        <w:spacing w:line="400" w:lineRule="exact"/>
        <w:ind w:firstLine="486"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9.4.参加磋商的供应商以本竞争性磋商文件为依据编制磋商响应文件；以现行市场价为基础，确定本项目的报价(报价应充分考虑各种税费及潜在的风险等因素)；本文件使用的度量衡单位，除有特殊规定的外一律使用公制。本项目以人民币报价。</w:t>
      </w:r>
    </w:p>
    <w:p w14:paraId="22A644A6">
      <w:pPr>
        <w:pStyle w:val="9"/>
        <w:keepNext w:val="0"/>
        <w:keepLines w:val="0"/>
        <w:pageBreakBefore w:val="0"/>
        <w:widowControl w:val="0"/>
        <w:kinsoku/>
        <w:wordWrap/>
        <w:overflowPunct/>
        <w:topLinePunct w:val="0"/>
        <w:autoSpaceDE/>
        <w:autoSpaceDN/>
        <w:bidi w:val="0"/>
        <w:adjustRightInd/>
        <w:snapToGrid/>
        <w:spacing w:line="400" w:lineRule="exact"/>
        <w:ind w:firstLine="486" w:firstLineChars="200"/>
        <w:textAlignment w:val="auto"/>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9.5.</w:t>
      </w:r>
      <w:r>
        <w:rPr>
          <w:rFonts w:hint="eastAsia" w:eastAsia="宋体" w:cs="宋体"/>
          <w:b/>
          <w:color w:val="auto"/>
          <w:sz w:val="24"/>
          <w:szCs w:val="24"/>
          <w:highlight w:val="none"/>
          <w:lang w:eastAsia="zh-CN"/>
        </w:rPr>
        <w:t>合同履行期限</w:t>
      </w:r>
      <w:r>
        <w:rPr>
          <w:rFonts w:hint="eastAsia" w:ascii="宋体" w:hAnsi="宋体" w:eastAsia="宋体" w:cs="宋体"/>
          <w:b/>
          <w:color w:val="auto"/>
          <w:sz w:val="24"/>
          <w:szCs w:val="24"/>
          <w:highlight w:val="none"/>
        </w:rPr>
        <w:t>：</w:t>
      </w:r>
      <w:r>
        <w:rPr>
          <w:rFonts w:hint="eastAsia" w:eastAsia="宋体" w:cs="宋体"/>
          <w:b/>
          <w:color w:val="auto"/>
          <w:sz w:val="24"/>
          <w:szCs w:val="24"/>
          <w:highlight w:val="none"/>
          <w:lang w:val="en-US" w:eastAsia="zh-CN"/>
        </w:rPr>
        <w:t>合同签订之日起一年。（合同期满后经采购人综合评价，满意度高、服务验收优秀可续签下一年度服务合同，最多续签两次，累计服务期限最长不超过三年。）</w:t>
      </w:r>
    </w:p>
    <w:p w14:paraId="5ED160F0">
      <w:pPr>
        <w:keepNext w:val="0"/>
        <w:keepLines w:val="0"/>
        <w:pageBreakBefore w:val="0"/>
        <w:widowControl w:val="0"/>
        <w:kinsoku/>
        <w:wordWrap/>
        <w:overflowPunct/>
        <w:topLinePunct w:val="0"/>
        <w:autoSpaceDE/>
        <w:autoSpaceDN/>
        <w:bidi w:val="0"/>
        <w:adjustRightInd/>
        <w:snapToGrid/>
        <w:spacing w:line="400" w:lineRule="exact"/>
        <w:ind w:firstLine="486" w:firstLineChars="200"/>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9.6.磋商保证金</w:t>
      </w:r>
    </w:p>
    <w:p w14:paraId="4A5B78EC">
      <w:pPr>
        <w:keepNext w:val="0"/>
        <w:keepLines w:val="0"/>
        <w:pageBreakBefore w:val="0"/>
        <w:widowControl w:val="0"/>
        <w:kinsoku/>
        <w:wordWrap/>
        <w:overflowPunct/>
        <w:topLinePunct w:val="0"/>
        <w:autoSpaceDE/>
        <w:autoSpaceDN/>
        <w:bidi w:val="0"/>
        <w:adjustRightInd/>
        <w:snapToGrid/>
        <w:spacing w:line="400" w:lineRule="exact"/>
        <w:ind w:firstLine="486"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供应商无须提交</w:t>
      </w:r>
      <w:r>
        <w:rPr>
          <w:rFonts w:hint="eastAsia" w:ascii="宋体" w:hAnsi="宋体" w:eastAsia="宋体" w:cs="宋体"/>
          <w:color w:val="auto"/>
          <w:sz w:val="24"/>
          <w:szCs w:val="24"/>
          <w:highlight w:val="none"/>
          <w:lang w:eastAsia="zh-CN"/>
        </w:rPr>
        <w:t>磋商</w:t>
      </w:r>
      <w:r>
        <w:rPr>
          <w:rFonts w:hint="eastAsia" w:ascii="宋体" w:hAnsi="宋体" w:eastAsia="宋体" w:cs="宋体"/>
          <w:color w:val="auto"/>
          <w:sz w:val="24"/>
          <w:szCs w:val="24"/>
          <w:highlight w:val="none"/>
        </w:rPr>
        <w:t>保证金。</w:t>
      </w:r>
    </w:p>
    <w:p w14:paraId="722174D8">
      <w:pPr>
        <w:keepNext w:val="0"/>
        <w:keepLines w:val="0"/>
        <w:pageBreakBefore w:val="0"/>
        <w:widowControl w:val="0"/>
        <w:kinsoku/>
        <w:wordWrap/>
        <w:overflowPunct/>
        <w:topLinePunct w:val="0"/>
        <w:autoSpaceDE/>
        <w:autoSpaceDN/>
        <w:bidi w:val="0"/>
        <w:adjustRightInd/>
        <w:snapToGrid/>
        <w:spacing w:line="400" w:lineRule="exact"/>
        <w:ind w:firstLine="486" w:firstLineChars="200"/>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10</w:t>
      </w:r>
      <w:r>
        <w:rPr>
          <w:rFonts w:hint="eastAsia" w:ascii="宋体" w:hAnsi="宋体" w:eastAsia="宋体" w:cs="宋体"/>
          <w:b/>
          <w:color w:val="auto"/>
          <w:sz w:val="24"/>
          <w:szCs w:val="24"/>
          <w:highlight w:val="none"/>
          <w:lang w:val="en-US" w:eastAsia="zh-CN"/>
        </w:rPr>
        <w:t>.</w:t>
      </w:r>
      <w:r>
        <w:rPr>
          <w:rFonts w:hint="eastAsia" w:ascii="宋体" w:hAnsi="宋体" w:eastAsia="宋体" w:cs="宋体"/>
          <w:b/>
          <w:color w:val="auto"/>
          <w:sz w:val="24"/>
          <w:szCs w:val="24"/>
          <w:highlight w:val="none"/>
        </w:rPr>
        <w:t>资料的宣读</w:t>
      </w:r>
    </w:p>
    <w:p w14:paraId="5C887E08">
      <w:pPr>
        <w:keepNext w:val="0"/>
        <w:keepLines w:val="0"/>
        <w:pageBreakBefore w:val="0"/>
        <w:widowControl w:val="0"/>
        <w:kinsoku/>
        <w:wordWrap/>
        <w:overflowPunct/>
        <w:topLinePunct w:val="0"/>
        <w:autoSpaceDE/>
        <w:autoSpaceDN/>
        <w:bidi w:val="0"/>
        <w:adjustRightInd/>
        <w:snapToGrid/>
        <w:spacing w:line="400" w:lineRule="exact"/>
        <w:ind w:left="142" w:leftChars="67" w:firstLine="364" w:firstLineChars="15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10.1.截止到磋商时间，经确认无误后，在开标会上，由工作人员当众宣读各供应商名称。</w:t>
      </w:r>
    </w:p>
    <w:p w14:paraId="074ED97D">
      <w:pPr>
        <w:keepNext w:val="0"/>
        <w:keepLines w:val="0"/>
        <w:pageBreakBefore w:val="0"/>
        <w:widowControl w:val="0"/>
        <w:kinsoku/>
        <w:wordWrap/>
        <w:overflowPunct/>
        <w:topLinePunct w:val="0"/>
        <w:autoSpaceDE/>
        <w:autoSpaceDN/>
        <w:bidi w:val="0"/>
        <w:adjustRightInd/>
        <w:snapToGrid/>
        <w:spacing w:line="400" w:lineRule="exact"/>
        <w:ind w:firstLine="475" w:firstLineChars="196"/>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11.磋商有效期</w:t>
      </w:r>
    </w:p>
    <w:p w14:paraId="21E46999">
      <w:pPr>
        <w:keepNext w:val="0"/>
        <w:keepLines w:val="0"/>
        <w:pageBreakBefore w:val="0"/>
        <w:widowControl w:val="0"/>
        <w:kinsoku/>
        <w:wordWrap/>
        <w:overflowPunct/>
        <w:topLinePunct w:val="0"/>
        <w:autoSpaceDE/>
        <w:autoSpaceDN/>
        <w:bidi w:val="0"/>
        <w:adjustRightInd/>
        <w:snapToGrid/>
        <w:spacing w:line="400" w:lineRule="exact"/>
        <w:ind w:firstLine="486" w:firstLineChars="200"/>
        <w:jc w:val="left"/>
        <w:textAlignment w:val="auto"/>
        <w:rPr>
          <w:rFonts w:hint="eastAsia" w:ascii="宋体" w:hAnsi="宋体" w:eastAsia="宋体" w:cs="宋体"/>
          <w:snapToGrid w:val="0"/>
          <w:color w:val="auto"/>
          <w:sz w:val="24"/>
          <w:szCs w:val="24"/>
          <w:highlight w:val="none"/>
        </w:rPr>
      </w:pPr>
      <w:r>
        <w:rPr>
          <w:rFonts w:hint="eastAsia" w:ascii="宋体" w:hAnsi="宋体" w:eastAsia="宋体" w:cs="宋体"/>
          <w:color w:val="auto"/>
          <w:sz w:val="24"/>
          <w:szCs w:val="24"/>
          <w:highlight w:val="none"/>
        </w:rPr>
        <w:t>11.1.</w:t>
      </w:r>
      <w:r>
        <w:rPr>
          <w:rFonts w:hint="eastAsia" w:ascii="宋体" w:hAnsi="宋体" w:eastAsia="宋体" w:cs="宋体"/>
          <w:snapToGrid w:val="0"/>
          <w:color w:val="auto"/>
          <w:sz w:val="24"/>
          <w:szCs w:val="24"/>
          <w:highlight w:val="none"/>
        </w:rPr>
        <w:t>本次竞争性磋商有效期为自磋商之日后90天内有效，如成交则有效期将顺延至合同终止日为止，应在此期间保持有效。磋商有效期不达要求的将被视为实质性不响应性磋商要求而予以拒绝。</w:t>
      </w:r>
    </w:p>
    <w:p w14:paraId="61C457B5">
      <w:pPr>
        <w:keepNext w:val="0"/>
        <w:keepLines w:val="0"/>
        <w:pageBreakBefore w:val="0"/>
        <w:widowControl w:val="0"/>
        <w:kinsoku/>
        <w:wordWrap/>
        <w:overflowPunct/>
        <w:topLinePunct w:val="0"/>
        <w:autoSpaceDE/>
        <w:autoSpaceDN/>
        <w:bidi w:val="0"/>
        <w:adjustRightInd/>
        <w:snapToGrid/>
        <w:spacing w:line="400" w:lineRule="exact"/>
        <w:ind w:firstLine="463" w:firstLineChars="191"/>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12.磋商响应文件的递交</w:t>
      </w:r>
    </w:p>
    <w:p w14:paraId="4B66409F">
      <w:pPr>
        <w:keepNext w:val="0"/>
        <w:keepLines w:val="0"/>
        <w:pageBreakBefore w:val="0"/>
        <w:widowControl w:val="0"/>
        <w:kinsoku/>
        <w:wordWrap/>
        <w:overflowPunct/>
        <w:topLinePunct w:val="0"/>
        <w:autoSpaceDE/>
        <w:autoSpaceDN/>
        <w:bidi w:val="0"/>
        <w:adjustRightInd/>
        <w:snapToGrid/>
        <w:spacing w:line="400" w:lineRule="exact"/>
        <w:ind w:firstLine="463" w:firstLineChars="191"/>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12.1.供应商应在规定的磋商截止时间前递交磋商响应文件。逾期送达的，或者未送达指定地点，以及未按指定方式送达的磋商响应文件，后果自行承担。</w:t>
      </w:r>
    </w:p>
    <w:p w14:paraId="4868141A">
      <w:pPr>
        <w:keepNext w:val="0"/>
        <w:keepLines w:val="0"/>
        <w:pageBreakBefore w:val="0"/>
        <w:widowControl w:val="0"/>
        <w:kinsoku/>
        <w:wordWrap/>
        <w:overflowPunct/>
        <w:topLinePunct w:val="0"/>
        <w:autoSpaceDE/>
        <w:autoSpaceDN/>
        <w:bidi w:val="0"/>
        <w:adjustRightInd/>
        <w:snapToGrid/>
        <w:spacing w:line="400" w:lineRule="exact"/>
        <w:ind w:firstLine="463" w:firstLineChars="191"/>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12.2.磋商响应文件的密封和标记</w:t>
      </w:r>
    </w:p>
    <w:p w14:paraId="49E8D29A">
      <w:pPr>
        <w:keepNext w:val="0"/>
        <w:keepLines w:val="0"/>
        <w:pageBreakBefore w:val="0"/>
        <w:widowControl w:val="0"/>
        <w:kinsoku/>
        <w:wordWrap/>
        <w:overflowPunct/>
        <w:topLinePunct w:val="0"/>
        <w:autoSpaceDE/>
        <w:autoSpaceDN/>
        <w:bidi w:val="0"/>
        <w:adjustRightInd/>
        <w:snapToGrid/>
        <w:spacing w:line="400" w:lineRule="exact"/>
        <w:ind w:firstLine="463" w:firstLineChars="191"/>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磋商响应文件正本和副本密封在一个包中，并在包封上注明采购项目名称、供应商名称和有“在(磋商文件中规定的开标日期和时间)之前不得启封”的字样，封口处加盖供应商行政公章。如果未按要求密封和标记，采购人对误投或提前启封概不负责。</w:t>
      </w:r>
    </w:p>
    <w:p w14:paraId="540C47C2">
      <w:pPr>
        <w:keepNext w:val="0"/>
        <w:keepLines w:val="0"/>
        <w:pageBreakBefore w:val="0"/>
        <w:widowControl w:val="0"/>
        <w:kinsoku/>
        <w:wordWrap/>
        <w:overflowPunct/>
        <w:topLinePunct w:val="0"/>
        <w:autoSpaceDE/>
        <w:autoSpaceDN/>
        <w:bidi w:val="0"/>
        <w:adjustRightInd/>
        <w:snapToGrid/>
        <w:spacing w:line="400" w:lineRule="exact"/>
        <w:ind w:firstLine="463" w:firstLineChars="191"/>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13.迟交的磋商响应文件</w:t>
      </w:r>
    </w:p>
    <w:p w14:paraId="5A629C0B">
      <w:pPr>
        <w:keepNext w:val="0"/>
        <w:keepLines w:val="0"/>
        <w:pageBreakBefore w:val="0"/>
        <w:widowControl w:val="0"/>
        <w:kinsoku/>
        <w:wordWrap/>
        <w:overflowPunct/>
        <w:topLinePunct w:val="0"/>
        <w:autoSpaceDE/>
        <w:autoSpaceDN/>
        <w:bidi w:val="0"/>
        <w:adjustRightInd/>
        <w:snapToGrid/>
        <w:spacing w:line="400" w:lineRule="exact"/>
        <w:ind w:firstLine="463" w:firstLineChars="191"/>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13.1.采购人将拒绝在磋商文件中规定的截止时间后递交的任何磋商响应文件。</w:t>
      </w:r>
    </w:p>
    <w:p w14:paraId="774D1914">
      <w:pPr>
        <w:keepNext w:val="0"/>
        <w:keepLines w:val="0"/>
        <w:pageBreakBefore w:val="0"/>
        <w:widowControl w:val="0"/>
        <w:kinsoku/>
        <w:wordWrap/>
        <w:overflowPunct/>
        <w:topLinePunct w:val="0"/>
        <w:autoSpaceDE/>
        <w:autoSpaceDN/>
        <w:bidi w:val="0"/>
        <w:adjustRightInd/>
        <w:snapToGrid/>
        <w:spacing w:line="400" w:lineRule="exact"/>
        <w:ind w:firstLine="463" w:firstLineChars="191"/>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14.磋商文件的修改和撤回</w:t>
      </w:r>
    </w:p>
    <w:p w14:paraId="4E7BF6A5">
      <w:pPr>
        <w:keepNext w:val="0"/>
        <w:keepLines w:val="0"/>
        <w:pageBreakBefore w:val="0"/>
        <w:widowControl w:val="0"/>
        <w:kinsoku/>
        <w:wordWrap/>
        <w:overflowPunct/>
        <w:topLinePunct w:val="0"/>
        <w:autoSpaceDE/>
        <w:autoSpaceDN/>
        <w:bidi w:val="0"/>
        <w:adjustRightInd/>
        <w:snapToGrid/>
        <w:spacing w:line="400" w:lineRule="exact"/>
        <w:ind w:firstLine="463" w:firstLineChars="191"/>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14.1.供应商在提交磋商响应文件截止时间前，可以对所提交的磋商响应文件进行补充、修改或者撤回，并书面通知采购代理机构。补充、修改的内容作为响应文件的组成部分。补充、修改的内容与响应文件不一致的，以补充、修改的内容为准。</w:t>
      </w:r>
    </w:p>
    <w:p w14:paraId="70412E4A">
      <w:pPr>
        <w:keepNext w:val="0"/>
        <w:keepLines w:val="0"/>
        <w:pageBreakBefore w:val="0"/>
        <w:widowControl w:val="0"/>
        <w:kinsoku/>
        <w:wordWrap/>
        <w:overflowPunct/>
        <w:topLinePunct w:val="0"/>
        <w:autoSpaceDE/>
        <w:autoSpaceDN/>
        <w:bidi w:val="0"/>
        <w:adjustRightInd/>
        <w:snapToGrid/>
        <w:spacing w:line="400" w:lineRule="exact"/>
        <w:ind w:firstLine="486"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14.2.供应商在递交磋商响应文件后，可以撤回其磋商响应文件，但供应商必须在规定的磋商截止期之前以书面形式告知采购代理机构。</w:t>
      </w:r>
    </w:p>
    <w:p w14:paraId="771B989C">
      <w:pPr>
        <w:keepNext w:val="0"/>
        <w:keepLines w:val="0"/>
        <w:pageBreakBefore w:val="0"/>
        <w:widowControl w:val="0"/>
        <w:kinsoku/>
        <w:wordWrap/>
        <w:overflowPunct/>
        <w:topLinePunct w:val="0"/>
        <w:autoSpaceDE/>
        <w:autoSpaceDN/>
        <w:bidi w:val="0"/>
        <w:adjustRightInd/>
        <w:snapToGrid/>
        <w:spacing w:line="400" w:lineRule="exact"/>
        <w:ind w:firstLine="486"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14.3.供应商所提交的磋商响应文件在磋商结束后，无论成交与否都不退还。</w:t>
      </w:r>
    </w:p>
    <w:p w14:paraId="13E30F48">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1"/>
        <w:rPr>
          <w:rFonts w:hint="eastAsia" w:ascii="宋体" w:hAnsi="宋体" w:eastAsia="宋体" w:cs="宋体"/>
          <w:b/>
          <w:color w:val="auto"/>
          <w:sz w:val="28"/>
          <w:szCs w:val="28"/>
          <w:highlight w:val="none"/>
        </w:rPr>
      </w:pPr>
      <w:bookmarkStart w:id="71" w:name="_Toc6039"/>
      <w:bookmarkStart w:id="72" w:name="_Toc12801"/>
      <w:r>
        <w:rPr>
          <w:rFonts w:hint="eastAsia" w:ascii="宋体" w:hAnsi="宋体" w:eastAsia="宋体" w:cs="宋体"/>
          <w:b/>
          <w:color w:val="auto"/>
          <w:sz w:val="28"/>
          <w:szCs w:val="28"/>
          <w:highlight w:val="none"/>
        </w:rPr>
        <w:t>三、开标程序</w:t>
      </w:r>
      <w:bookmarkEnd w:id="71"/>
      <w:bookmarkEnd w:id="72"/>
    </w:p>
    <w:p w14:paraId="001173A7">
      <w:pPr>
        <w:keepNext w:val="0"/>
        <w:keepLines w:val="0"/>
        <w:pageBreakBefore w:val="0"/>
        <w:widowControl w:val="0"/>
        <w:kinsoku/>
        <w:wordWrap/>
        <w:overflowPunct/>
        <w:topLinePunct w:val="0"/>
        <w:autoSpaceDE/>
        <w:autoSpaceDN/>
        <w:bidi w:val="0"/>
        <w:adjustRightInd/>
        <w:snapToGrid/>
        <w:spacing w:line="400" w:lineRule="exact"/>
        <w:ind w:firstLine="463" w:firstLineChars="191"/>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15.开标</w:t>
      </w:r>
    </w:p>
    <w:p w14:paraId="68A57F9B">
      <w:pPr>
        <w:keepNext w:val="0"/>
        <w:keepLines w:val="0"/>
        <w:pageBreakBefore w:val="0"/>
        <w:widowControl w:val="0"/>
        <w:kinsoku/>
        <w:wordWrap/>
        <w:overflowPunct/>
        <w:topLinePunct w:val="0"/>
        <w:autoSpaceDE/>
        <w:autoSpaceDN/>
        <w:bidi w:val="0"/>
        <w:adjustRightInd/>
        <w:snapToGrid/>
        <w:spacing w:line="400" w:lineRule="exact"/>
        <w:ind w:firstLine="463" w:firstLineChars="191"/>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15.1.采购人按磋商公告中确定的时间和地点组织磋商。届时将邀请所有参加磋商供应商以及监督部门、采购人代表参加开标会。供应商的法定代表人或其委托代理人应按规定时间携带其身份证明文件(法人代表参加开标会的提供法人代表身份证明原件，委托人参加开标会的提供授权委托书原件)和第二代有效身份证原件准时参加开标会。</w:t>
      </w:r>
    </w:p>
    <w:p w14:paraId="4D513650">
      <w:pPr>
        <w:keepNext w:val="0"/>
        <w:keepLines w:val="0"/>
        <w:pageBreakBefore w:val="0"/>
        <w:widowControl w:val="0"/>
        <w:kinsoku/>
        <w:wordWrap/>
        <w:overflowPunct/>
        <w:topLinePunct w:val="0"/>
        <w:autoSpaceDE/>
        <w:autoSpaceDN/>
        <w:bidi w:val="0"/>
        <w:adjustRightInd/>
        <w:snapToGrid/>
        <w:spacing w:line="400" w:lineRule="exact"/>
        <w:ind w:firstLine="486"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15.2.开标时，采购代理机构将当众宣读参加磋商供应商名称以及采购人认为合适的其它内容。</w:t>
      </w:r>
    </w:p>
    <w:p w14:paraId="67CE43B8">
      <w:pPr>
        <w:keepNext w:val="0"/>
        <w:keepLines w:val="0"/>
        <w:pageBreakBefore w:val="0"/>
        <w:widowControl w:val="0"/>
        <w:kinsoku/>
        <w:wordWrap/>
        <w:overflowPunct/>
        <w:topLinePunct w:val="0"/>
        <w:autoSpaceDE/>
        <w:autoSpaceDN/>
        <w:bidi w:val="0"/>
        <w:adjustRightInd/>
        <w:snapToGrid/>
        <w:spacing w:line="400" w:lineRule="exact"/>
        <w:ind w:firstLine="553" w:firstLineChars="196"/>
        <w:jc w:val="center"/>
        <w:textAlignment w:val="auto"/>
        <w:outlineLvl w:val="1"/>
        <w:rPr>
          <w:rFonts w:hint="eastAsia" w:ascii="宋体" w:hAnsi="宋体" w:eastAsia="宋体" w:cs="宋体"/>
          <w:b/>
          <w:color w:val="auto"/>
          <w:sz w:val="28"/>
          <w:szCs w:val="28"/>
          <w:highlight w:val="none"/>
        </w:rPr>
      </w:pPr>
      <w:bookmarkStart w:id="73" w:name="_Toc9346"/>
      <w:bookmarkStart w:id="74" w:name="_Toc1719"/>
      <w:r>
        <w:rPr>
          <w:rFonts w:hint="eastAsia" w:ascii="宋体" w:hAnsi="宋体" w:eastAsia="宋体" w:cs="宋体"/>
          <w:b/>
          <w:color w:val="auto"/>
          <w:sz w:val="28"/>
          <w:szCs w:val="28"/>
          <w:highlight w:val="none"/>
        </w:rPr>
        <w:t>四</w:t>
      </w:r>
      <w:r>
        <w:rPr>
          <w:rFonts w:hint="eastAsia" w:ascii="宋体" w:hAnsi="宋体" w:eastAsia="宋体" w:cs="宋体"/>
          <w:b/>
          <w:color w:val="auto"/>
          <w:sz w:val="28"/>
          <w:szCs w:val="28"/>
          <w:highlight w:val="none"/>
          <w:lang w:eastAsia="zh-CN"/>
        </w:rPr>
        <w:t>、</w:t>
      </w:r>
      <w:r>
        <w:rPr>
          <w:rFonts w:hint="eastAsia" w:ascii="宋体" w:hAnsi="宋体" w:eastAsia="宋体" w:cs="宋体"/>
          <w:b/>
          <w:color w:val="auto"/>
          <w:sz w:val="28"/>
          <w:szCs w:val="28"/>
          <w:highlight w:val="none"/>
        </w:rPr>
        <w:t>磋商程序与内容</w:t>
      </w:r>
      <w:bookmarkEnd w:id="73"/>
      <w:bookmarkEnd w:id="74"/>
    </w:p>
    <w:p w14:paraId="4DB2F475">
      <w:pPr>
        <w:keepNext w:val="0"/>
        <w:keepLines w:val="0"/>
        <w:pageBreakBefore w:val="0"/>
        <w:widowControl w:val="0"/>
        <w:kinsoku/>
        <w:wordWrap/>
        <w:overflowPunct/>
        <w:topLinePunct w:val="0"/>
        <w:autoSpaceDE/>
        <w:autoSpaceDN/>
        <w:bidi w:val="0"/>
        <w:adjustRightInd/>
        <w:snapToGrid/>
        <w:spacing w:line="400" w:lineRule="exact"/>
        <w:ind w:firstLine="465" w:firstLineChars="192"/>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16.成立磋商小组</w:t>
      </w:r>
    </w:p>
    <w:p w14:paraId="374F14E9">
      <w:pPr>
        <w:keepNext w:val="0"/>
        <w:keepLines w:val="0"/>
        <w:pageBreakBefore w:val="0"/>
        <w:widowControl w:val="0"/>
        <w:kinsoku/>
        <w:wordWrap/>
        <w:overflowPunct/>
        <w:topLinePunct w:val="0"/>
        <w:autoSpaceDE/>
        <w:autoSpaceDN/>
        <w:bidi w:val="0"/>
        <w:adjustRightInd/>
        <w:snapToGrid/>
        <w:spacing w:line="400" w:lineRule="exact"/>
        <w:ind w:firstLine="463" w:firstLineChars="191"/>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16.1.磋商由采购人依照有关法规组建的磋商小组</w:t>
      </w:r>
      <w:r>
        <w:rPr>
          <w:rFonts w:hint="eastAsia" w:ascii="宋体" w:hAnsi="宋体" w:cs="宋体"/>
          <w:color w:val="auto"/>
          <w:sz w:val="24"/>
          <w:szCs w:val="24"/>
          <w:highlight w:val="none"/>
          <w:lang w:val="en-US" w:eastAsia="zh-CN"/>
        </w:rPr>
        <w:t>组成</w:t>
      </w:r>
      <w:bookmarkStart w:id="141" w:name="_GoBack"/>
      <w:bookmarkEnd w:id="141"/>
      <w:r>
        <w:rPr>
          <w:rFonts w:hint="eastAsia" w:ascii="宋体" w:hAnsi="宋体" w:eastAsia="宋体" w:cs="宋体"/>
          <w:color w:val="auto"/>
          <w:sz w:val="24"/>
          <w:szCs w:val="24"/>
          <w:highlight w:val="none"/>
        </w:rPr>
        <w:t>，成员人数为3人及以上单数。</w:t>
      </w:r>
    </w:p>
    <w:p w14:paraId="4473DAE4">
      <w:pPr>
        <w:keepNext w:val="0"/>
        <w:keepLines w:val="0"/>
        <w:pageBreakBefore w:val="0"/>
        <w:widowControl w:val="0"/>
        <w:kinsoku/>
        <w:wordWrap/>
        <w:overflowPunct/>
        <w:topLinePunct w:val="0"/>
        <w:autoSpaceDE/>
        <w:autoSpaceDN/>
        <w:bidi w:val="0"/>
        <w:adjustRightInd/>
        <w:snapToGrid/>
        <w:spacing w:line="400" w:lineRule="exact"/>
        <w:ind w:firstLine="486"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16.2.在竞争性磋商过程中，如果出现磋商小组成员意见不一致的情况，按照少数服从多数的原则确定。</w:t>
      </w:r>
    </w:p>
    <w:p w14:paraId="55FB1FB0">
      <w:pPr>
        <w:keepNext w:val="0"/>
        <w:keepLines w:val="0"/>
        <w:pageBreakBefore w:val="0"/>
        <w:widowControl w:val="0"/>
        <w:kinsoku/>
        <w:wordWrap/>
        <w:overflowPunct/>
        <w:topLinePunct w:val="0"/>
        <w:autoSpaceDE/>
        <w:autoSpaceDN/>
        <w:bidi w:val="0"/>
        <w:adjustRightInd/>
        <w:snapToGrid/>
        <w:spacing w:line="400" w:lineRule="exact"/>
        <w:ind w:firstLine="463" w:firstLineChars="191"/>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17.竞争性磋商响应文件的审查</w:t>
      </w:r>
    </w:p>
    <w:p w14:paraId="1A3E5DF0">
      <w:pPr>
        <w:pStyle w:val="11"/>
        <w:keepNext w:val="0"/>
        <w:keepLines w:val="0"/>
        <w:pageBreakBefore w:val="0"/>
        <w:widowControl w:val="0"/>
        <w:kinsoku/>
        <w:wordWrap/>
        <w:overflowPunct/>
        <w:topLinePunct w:val="0"/>
        <w:autoSpaceDE/>
        <w:autoSpaceDN/>
        <w:bidi w:val="0"/>
        <w:adjustRightInd/>
        <w:snapToGrid/>
        <w:spacing w:line="400" w:lineRule="exact"/>
        <w:ind w:firstLine="486"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17.1磋商小组应当审查每一份磋商响应文件是否对磋商文件所提出的所有实质性要求和条件作出了响应，未能在实质上响应磋商文件的磋商响应文件，</w:t>
      </w:r>
      <w:r>
        <w:rPr>
          <w:rFonts w:hint="eastAsia" w:ascii="宋体" w:hAnsi="宋体" w:eastAsia="宋体" w:cs="宋体"/>
          <w:b/>
          <w:color w:val="auto"/>
          <w:sz w:val="24"/>
          <w:szCs w:val="24"/>
          <w:highlight w:val="none"/>
          <w:u w:val="single"/>
        </w:rPr>
        <w:t>应作无效磋商响应文件处理</w:t>
      </w:r>
      <w:r>
        <w:rPr>
          <w:rFonts w:hint="eastAsia" w:ascii="宋体" w:hAnsi="宋体" w:eastAsia="宋体" w:cs="宋体"/>
          <w:color w:val="auto"/>
          <w:sz w:val="24"/>
          <w:szCs w:val="24"/>
          <w:highlight w:val="none"/>
        </w:rPr>
        <w:t>。</w:t>
      </w:r>
    </w:p>
    <w:p w14:paraId="159B6E7B">
      <w:pPr>
        <w:pStyle w:val="11"/>
        <w:keepNext w:val="0"/>
        <w:keepLines w:val="0"/>
        <w:pageBreakBefore w:val="0"/>
        <w:widowControl w:val="0"/>
        <w:kinsoku/>
        <w:wordWrap/>
        <w:overflowPunct/>
        <w:topLinePunct w:val="0"/>
        <w:autoSpaceDE/>
        <w:autoSpaceDN/>
        <w:bidi w:val="0"/>
        <w:adjustRightInd/>
        <w:snapToGrid/>
        <w:spacing w:line="400" w:lineRule="exact"/>
        <w:ind w:firstLine="486"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以下情形，均将被视为</w:t>
      </w:r>
      <w:r>
        <w:rPr>
          <w:rFonts w:hint="eastAsia" w:ascii="宋体" w:hAnsi="宋体" w:eastAsia="宋体" w:cs="宋体"/>
          <w:b/>
          <w:color w:val="auto"/>
          <w:sz w:val="24"/>
          <w:szCs w:val="24"/>
          <w:highlight w:val="none"/>
          <w:u w:val="single"/>
        </w:rPr>
        <w:t>无效磋商响应文件进行处理：</w:t>
      </w:r>
    </w:p>
    <w:p w14:paraId="1506DC79">
      <w:pPr>
        <w:keepNext w:val="0"/>
        <w:keepLines w:val="0"/>
        <w:pageBreakBefore w:val="0"/>
        <w:widowControl w:val="0"/>
        <w:kinsoku/>
        <w:wordWrap/>
        <w:overflowPunct/>
        <w:topLinePunct w:val="0"/>
        <w:autoSpaceDE/>
        <w:autoSpaceDN/>
        <w:bidi w:val="0"/>
        <w:adjustRightInd/>
        <w:snapToGrid/>
        <w:spacing w:line="400" w:lineRule="exact"/>
        <w:ind w:firstLine="425" w:firstLineChars="175"/>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磋商响应文件应有供应商法人代表或授权代表签字和加盖行政公章，而没有或部分没有签字和加盖行政公章的；或加盖的公章为非行政公章的；磋商响应文件由授权代表签字、盖章，而磋商响应文件中无授权委托书原件的；磋商响应文件中复印件不清楚者视为复印件无效的；</w:t>
      </w:r>
    </w:p>
    <w:p w14:paraId="2BDEFD13">
      <w:pPr>
        <w:keepNext w:val="0"/>
        <w:keepLines w:val="0"/>
        <w:pageBreakBefore w:val="0"/>
        <w:widowControl w:val="0"/>
        <w:kinsoku/>
        <w:wordWrap/>
        <w:overflowPunct/>
        <w:topLinePunct w:val="0"/>
        <w:autoSpaceDE/>
        <w:autoSpaceDN/>
        <w:bidi w:val="0"/>
        <w:adjustRightInd/>
        <w:snapToGrid/>
        <w:spacing w:line="400" w:lineRule="exact"/>
        <w:ind w:firstLine="425" w:firstLineChars="175"/>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(2)磋商响应文件技术规格中的响应与实际不符且没有提供有效技术资料进行说明的；</w:t>
      </w:r>
    </w:p>
    <w:p w14:paraId="2263910A">
      <w:pPr>
        <w:keepNext w:val="0"/>
        <w:keepLines w:val="0"/>
        <w:pageBreakBefore w:val="0"/>
        <w:widowControl w:val="0"/>
        <w:kinsoku/>
        <w:wordWrap/>
        <w:overflowPunct/>
        <w:topLinePunct w:val="0"/>
        <w:autoSpaceDE/>
        <w:autoSpaceDN/>
        <w:bidi w:val="0"/>
        <w:adjustRightInd/>
        <w:snapToGrid/>
        <w:spacing w:line="400" w:lineRule="exact"/>
        <w:ind w:firstLine="425" w:firstLineChars="175"/>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(3)提供虚假资料进行磋商的；</w:t>
      </w:r>
    </w:p>
    <w:p w14:paraId="25D10D94">
      <w:pPr>
        <w:keepNext w:val="0"/>
        <w:keepLines w:val="0"/>
        <w:pageBreakBefore w:val="0"/>
        <w:widowControl w:val="0"/>
        <w:kinsoku/>
        <w:wordWrap/>
        <w:overflowPunct/>
        <w:topLinePunct w:val="0"/>
        <w:autoSpaceDE/>
        <w:autoSpaceDN/>
        <w:bidi w:val="0"/>
        <w:adjustRightInd/>
        <w:snapToGrid/>
        <w:spacing w:line="400" w:lineRule="exact"/>
        <w:ind w:firstLine="425" w:firstLineChars="175"/>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(4)供应商名称与营业执照、资质证书等不一致的；</w:t>
      </w:r>
    </w:p>
    <w:p w14:paraId="090E03FE">
      <w:pPr>
        <w:keepNext w:val="0"/>
        <w:keepLines w:val="0"/>
        <w:pageBreakBefore w:val="0"/>
        <w:widowControl w:val="0"/>
        <w:kinsoku/>
        <w:wordWrap/>
        <w:overflowPunct/>
        <w:topLinePunct w:val="0"/>
        <w:autoSpaceDE/>
        <w:autoSpaceDN/>
        <w:bidi w:val="0"/>
        <w:adjustRightInd/>
        <w:snapToGrid/>
        <w:spacing w:line="400" w:lineRule="exact"/>
        <w:ind w:firstLine="425" w:firstLineChars="175"/>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(5)未按规定的格式填写，内容不全或者关键内容字迹模糊、无法辨认，造成磋商响应文件实质上不响应竞争性磋商文件的要求，或者导致无法对磋商响应文件的实质性内容进行评审的；</w:t>
      </w:r>
    </w:p>
    <w:p w14:paraId="22CEFCC7">
      <w:pPr>
        <w:keepNext w:val="0"/>
        <w:keepLines w:val="0"/>
        <w:pageBreakBefore w:val="0"/>
        <w:widowControl w:val="0"/>
        <w:kinsoku/>
        <w:wordWrap/>
        <w:overflowPunct/>
        <w:topLinePunct w:val="0"/>
        <w:autoSpaceDE/>
        <w:autoSpaceDN/>
        <w:bidi w:val="0"/>
        <w:adjustRightInd/>
        <w:snapToGrid/>
        <w:spacing w:line="400" w:lineRule="exact"/>
        <w:ind w:firstLine="425" w:firstLineChars="175"/>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(6)同一供应商提交两个以上不同的磋商响应文件，且未声明哪一个有效的；</w:t>
      </w:r>
    </w:p>
    <w:p w14:paraId="027CD054">
      <w:pPr>
        <w:keepNext w:val="0"/>
        <w:keepLines w:val="0"/>
        <w:pageBreakBefore w:val="0"/>
        <w:widowControl w:val="0"/>
        <w:kinsoku/>
        <w:wordWrap/>
        <w:overflowPunct/>
        <w:topLinePunct w:val="0"/>
        <w:autoSpaceDE/>
        <w:autoSpaceDN/>
        <w:bidi w:val="0"/>
        <w:adjustRightInd/>
        <w:snapToGrid/>
        <w:spacing w:line="400" w:lineRule="exact"/>
        <w:ind w:firstLine="425" w:firstLineChars="175"/>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(7)磋商响应文件附有采购人不能接受的条件的；</w:t>
      </w:r>
    </w:p>
    <w:p w14:paraId="7AEAE42B">
      <w:pPr>
        <w:keepNext w:val="0"/>
        <w:keepLines w:val="0"/>
        <w:pageBreakBefore w:val="0"/>
        <w:widowControl w:val="0"/>
        <w:kinsoku/>
        <w:wordWrap/>
        <w:overflowPunct/>
        <w:topLinePunct w:val="0"/>
        <w:autoSpaceDE/>
        <w:autoSpaceDN/>
        <w:bidi w:val="0"/>
        <w:adjustRightInd/>
        <w:snapToGrid/>
        <w:spacing w:line="400" w:lineRule="exact"/>
        <w:ind w:firstLine="425" w:firstLineChars="175"/>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(8)不符合竞争性磋商文件规定被视为无效其它条款的；</w:t>
      </w:r>
    </w:p>
    <w:p w14:paraId="24D40853">
      <w:pPr>
        <w:keepNext w:val="0"/>
        <w:keepLines w:val="0"/>
        <w:pageBreakBefore w:val="0"/>
        <w:widowControl w:val="0"/>
        <w:kinsoku/>
        <w:wordWrap/>
        <w:overflowPunct/>
        <w:topLinePunct w:val="0"/>
        <w:autoSpaceDE/>
        <w:autoSpaceDN/>
        <w:bidi w:val="0"/>
        <w:adjustRightInd/>
        <w:snapToGrid/>
        <w:spacing w:line="400" w:lineRule="exact"/>
        <w:ind w:firstLine="425" w:firstLineChars="175"/>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(9)参与磋商的供应商法定代表人或其委托代理人未按时参加磋商的；</w:t>
      </w:r>
    </w:p>
    <w:p w14:paraId="0A91291A">
      <w:pPr>
        <w:keepNext w:val="0"/>
        <w:keepLines w:val="0"/>
        <w:pageBreakBefore w:val="0"/>
        <w:widowControl w:val="0"/>
        <w:kinsoku/>
        <w:wordWrap/>
        <w:overflowPunct/>
        <w:topLinePunct w:val="0"/>
        <w:autoSpaceDE/>
        <w:autoSpaceDN/>
        <w:bidi w:val="0"/>
        <w:adjustRightInd/>
        <w:snapToGrid/>
        <w:spacing w:line="400" w:lineRule="exact"/>
        <w:ind w:firstLine="425" w:firstLineChars="175"/>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(10)扰乱会场秩序，经劝阻仍无理取闹的；</w:t>
      </w:r>
    </w:p>
    <w:p w14:paraId="00FFFCDA">
      <w:pPr>
        <w:keepNext w:val="0"/>
        <w:keepLines w:val="0"/>
        <w:pageBreakBefore w:val="0"/>
        <w:widowControl w:val="0"/>
        <w:kinsoku/>
        <w:wordWrap/>
        <w:overflowPunct/>
        <w:topLinePunct w:val="0"/>
        <w:autoSpaceDE/>
        <w:autoSpaceDN/>
        <w:bidi w:val="0"/>
        <w:adjustRightInd/>
        <w:snapToGrid/>
        <w:spacing w:line="400" w:lineRule="exact"/>
        <w:ind w:firstLine="425" w:firstLineChars="175"/>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(11)在参与磋商的供应商之间串通，事先商定磋商报价或合谋使特定人中标的；</w:t>
      </w:r>
    </w:p>
    <w:p w14:paraId="71467AB7">
      <w:pPr>
        <w:keepNext w:val="0"/>
        <w:keepLines w:val="0"/>
        <w:pageBreakBefore w:val="0"/>
        <w:widowControl w:val="0"/>
        <w:kinsoku/>
        <w:wordWrap/>
        <w:overflowPunct/>
        <w:topLinePunct w:val="0"/>
        <w:autoSpaceDE/>
        <w:autoSpaceDN/>
        <w:bidi w:val="0"/>
        <w:adjustRightInd/>
        <w:snapToGrid/>
        <w:spacing w:line="400" w:lineRule="exact"/>
        <w:ind w:firstLine="425" w:firstLineChars="175"/>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(12)资格审查不合格的；</w:t>
      </w:r>
    </w:p>
    <w:p w14:paraId="4C6FE4C8">
      <w:pPr>
        <w:keepNext w:val="0"/>
        <w:keepLines w:val="0"/>
        <w:pageBreakBefore w:val="0"/>
        <w:widowControl w:val="0"/>
        <w:kinsoku/>
        <w:wordWrap/>
        <w:overflowPunct/>
        <w:topLinePunct w:val="0"/>
        <w:autoSpaceDE/>
        <w:autoSpaceDN/>
        <w:bidi w:val="0"/>
        <w:adjustRightInd/>
        <w:snapToGrid/>
        <w:spacing w:line="400" w:lineRule="exact"/>
        <w:ind w:firstLine="425" w:firstLineChars="175"/>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(13)不同供应商授权同一人作为供应商代表的。</w:t>
      </w:r>
    </w:p>
    <w:p w14:paraId="6E9D40ED">
      <w:pPr>
        <w:keepNext w:val="0"/>
        <w:keepLines w:val="0"/>
        <w:pageBreakBefore w:val="0"/>
        <w:widowControl w:val="0"/>
        <w:kinsoku/>
        <w:wordWrap/>
        <w:overflowPunct/>
        <w:topLinePunct w:val="0"/>
        <w:autoSpaceDE/>
        <w:autoSpaceDN/>
        <w:bidi w:val="0"/>
        <w:adjustRightInd/>
        <w:snapToGrid/>
        <w:spacing w:line="400" w:lineRule="exact"/>
        <w:ind w:firstLine="425" w:firstLineChars="175"/>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(14)其他严重违反磋商程序和不符合磋商文件规定的行为。</w:t>
      </w:r>
    </w:p>
    <w:p w14:paraId="1E91134B">
      <w:pPr>
        <w:keepNext w:val="0"/>
        <w:keepLines w:val="0"/>
        <w:pageBreakBefore w:val="0"/>
        <w:widowControl w:val="0"/>
        <w:kinsoku/>
        <w:wordWrap/>
        <w:overflowPunct/>
        <w:topLinePunct w:val="0"/>
        <w:autoSpaceDE/>
        <w:autoSpaceDN/>
        <w:bidi w:val="0"/>
        <w:adjustRightInd/>
        <w:snapToGrid/>
        <w:spacing w:line="400" w:lineRule="exact"/>
        <w:ind w:firstLine="486"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17.2非实质性偏离是指磋商响应文件在实质上响应磋商文件的要求，但在个别地方存在一些不规则、不一致、不完整的内容，并且澄清、说明或者补正这些内容不会改变磋商响应文件的实质性内容。以下情况属于非实质性偏离：</w:t>
      </w:r>
    </w:p>
    <w:p w14:paraId="3E0B2C33">
      <w:pPr>
        <w:keepNext w:val="0"/>
        <w:keepLines w:val="0"/>
        <w:pageBreakBefore w:val="0"/>
        <w:widowControl w:val="0"/>
        <w:kinsoku/>
        <w:wordWrap/>
        <w:overflowPunct/>
        <w:topLinePunct w:val="0"/>
        <w:autoSpaceDE/>
        <w:autoSpaceDN/>
        <w:bidi w:val="0"/>
        <w:adjustRightInd/>
        <w:snapToGrid/>
        <w:spacing w:line="400" w:lineRule="exact"/>
        <w:ind w:firstLine="486"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(1)文字表述的内容含义不明确；</w:t>
      </w:r>
    </w:p>
    <w:p w14:paraId="0D4BC2CC">
      <w:pPr>
        <w:keepNext w:val="0"/>
        <w:keepLines w:val="0"/>
        <w:pageBreakBefore w:val="0"/>
        <w:widowControl w:val="0"/>
        <w:kinsoku/>
        <w:wordWrap/>
        <w:overflowPunct/>
        <w:topLinePunct w:val="0"/>
        <w:autoSpaceDE/>
        <w:autoSpaceDN/>
        <w:bidi w:val="0"/>
        <w:adjustRightInd/>
        <w:snapToGrid/>
        <w:spacing w:line="400" w:lineRule="exact"/>
        <w:ind w:firstLine="486"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(2)同类问题表述不一致；</w:t>
      </w:r>
    </w:p>
    <w:p w14:paraId="4009555E">
      <w:pPr>
        <w:keepNext w:val="0"/>
        <w:keepLines w:val="0"/>
        <w:pageBreakBefore w:val="0"/>
        <w:widowControl w:val="0"/>
        <w:kinsoku/>
        <w:wordWrap/>
        <w:overflowPunct/>
        <w:topLinePunct w:val="0"/>
        <w:autoSpaceDE/>
        <w:autoSpaceDN/>
        <w:bidi w:val="0"/>
        <w:adjustRightInd/>
        <w:snapToGrid/>
        <w:spacing w:line="400" w:lineRule="exact"/>
        <w:ind w:firstLine="486"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(3)有明显文字和计算错误；</w:t>
      </w:r>
    </w:p>
    <w:p w14:paraId="3B9FCBA8">
      <w:pPr>
        <w:keepNext w:val="0"/>
        <w:keepLines w:val="0"/>
        <w:pageBreakBefore w:val="0"/>
        <w:widowControl w:val="0"/>
        <w:kinsoku/>
        <w:wordWrap/>
        <w:overflowPunct/>
        <w:topLinePunct w:val="0"/>
        <w:autoSpaceDE/>
        <w:autoSpaceDN/>
        <w:bidi w:val="0"/>
        <w:adjustRightInd/>
        <w:snapToGrid/>
        <w:spacing w:line="400" w:lineRule="exact"/>
        <w:ind w:firstLine="486"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(4)提供的技术信息和数据资料不完整；</w:t>
      </w:r>
    </w:p>
    <w:p w14:paraId="6A5E6BC9">
      <w:pPr>
        <w:keepNext w:val="0"/>
        <w:keepLines w:val="0"/>
        <w:pageBreakBefore w:val="0"/>
        <w:widowControl w:val="0"/>
        <w:kinsoku/>
        <w:wordWrap/>
        <w:overflowPunct/>
        <w:topLinePunct w:val="0"/>
        <w:autoSpaceDE/>
        <w:autoSpaceDN/>
        <w:bidi w:val="0"/>
        <w:adjustRightInd/>
        <w:snapToGrid/>
        <w:spacing w:line="400" w:lineRule="exact"/>
        <w:ind w:firstLine="486"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(5)磋商响应文件未按磋商文件要求进行装订或未编制目录；</w:t>
      </w:r>
    </w:p>
    <w:p w14:paraId="66ABF8DB">
      <w:pPr>
        <w:keepNext w:val="0"/>
        <w:keepLines w:val="0"/>
        <w:pageBreakBefore w:val="0"/>
        <w:widowControl w:val="0"/>
        <w:kinsoku/>
        <w:wordWrap/>
        <w:overflowPunct/>
        <w:topLinePunct w:val="0"/>
        <w:autoSpaceDE/>
        <w:autoSpaceDN/>
        <w:bidi w:val="0"/>
        <w:adjustRightInd/>
        <w:snapToGrid/>
        <w:spacing w:line="400" w:lineRule="exact"/>
        <w:ind w:firstLine="486"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(6)磋商小组认定的其他非实质性偏离。</w:t>
      </w:r>
    </w:p>
    <w:p w14:paraId="52E4E34B">
      <w:pPr>
        <w:keepNext w:val="0"/>
        <w:keepLines w:val="0"/>
        <w:pageBreakBefore w:val="0"/>
        <w:widowControl w:val="0"/>
        <w:kinsoku/>
        <w:wordWrap/>
        <w:overflowPunct/>
        <w:topLinePunct w:val="0"/>
        <w:autoSpaceDE/>
        <w:autoSpaceDN/>
        <w:bidi w:val="0"/>
        <w:adjustRightInd/>
        <w:snapToGrid/>
        <w:spacing w:line="400" w:lineRule="exact"/>
        <w:ind w:firstLine="486"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磋商响应文件有上述1--3情形之一的，磋商小组应当书面要求供应商在规定的时间内予以澄清、说明或补正。供应商拒不或在规定的时间内没有进行澄清、说明或补正或澄清、说明、补正的内容也不能说明问题的，视为该磋商响应文件制作不规范，按无效磋商响应文件处理。磋商小组不会接受供应商主动提出的澄清、说明或补正。</w:t>
      </w:r>
    </w:p>
    <w:p w14:paraId="61C15F35">
      <w:pPr>
        <w:keepNext w:val="0"/>
        <w:keepLines w:val="0"/>
        <w:pageBreakBefore w:val="0"/>
        <w:widowControl w:val="0"/>
        <w:kinsoku/>
        <w:wordWrap/>
        <w:overflowPunct/>
        <w:topLinePunct w:val="0"/>
        <w:autoSpaceDE/>
        <w:autoSpaceDN/>
        <w:bidi w:val="0"/>
        <w:adjustRightInd/>
        <w:snapToGrid/>
        <w:spacing w:line="400" w:lineRule="exact"/>
        <w:ind w:firstLine="486"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17.3.磋商响应文件被确认为无效文件后，该供应商即失去参加本次磋商采购的竞争机会。</w:t>
      </w:r>
    </w:p>
    <w:p w14:paraId="79FC4D38">
      <w:pPr>
        <w:keepNext w:val="0"/>
        <w:keepLines w:val="0"/>
        <w:pageBreakBefore w:val="0"/>
        <w:widowControl w:val="0"/>
        <w:kinsoku/>
        <w:wordWrap/>
        <w:overflowPunct/>
        <w:topLinePunct w:val="0"/>
        <w:autoSpaceDE/>
        <w:autoSpaceDN/>
        <w:bidi w:val="0"/>
        <w:adjustRightInd/>
        <w:snapToGrid/>
        <w:spacing w:line="400" w:lineRule="exact"/>
        <w:ind w:firstLine="486" w:firstLineChars="200"/>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18.磋商原则：</w:t>
      </w:r>
    </w:p>
    <w:p w14:paraId="09115174">
      <w:pPr>
        <w:keepNext w:val="0"/>
        <w:keepLines w:val="0"/>
        <w:pageBreakBefore w:val="0"/>
        <w:widowControl w:val="0"/>
        <w:kinsoku/>
        <w:wordWrap/>
        <w:overflowPunct/>
        <w:topLinePunct w:val="0"/>
        <w:autoSpaceDE/>
        <w:autoSpaceDN/>
        <w:bidi w:val="0"/>
        <w:adjustRightInd/>
        <w:snapToGrid/>
        <w:spacing w:line="400" w:lineRule="exact"/>
        <w:ind w:firstLine="486"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18.1磋商原则:客观、公正、审慎。</w:t>
      </w:r>
    </w:p>
    <w:p w14:paraId="7FF58C8B">
      <w:pPr>
        <w:keepNext w:val="0"/>
        <w:keepLines w:val="0"/>
        <w:pageBreakBefore w:val="0"/>
        <w:widowControl w:val="0"/>
        <w:kinsoku/>
        <w:wordWrap/>
        <w:overflowPunct/>
        <w:topLinePunct w:val="0"/>
        <w:autoSpaceDE/>
        <w:autoSpaceDN/>
        <w:bidi w:val="0"/>
        <w:adjustRightInd/>
        <w:snapToGrid/>
        <w:spacing w:line="400" w:lineRule="exact"/>
        <w:ind w:firstLine="486"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18.2磋商文件能够详细列明采购技术和要求的，磋商结束后，磋商小组将要求所有实质性响应的供应商在规定时间内提交最后报价。最后报价是供应商响应文件的有效组成部分。</w:t>
      </w:r>
    </w:p>
    <w:p w14:paraId="58886BB1">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18.3已提交响应文件的供应商，在提交最后报价之前，可以根据磋商情况退出磋商。</w:t>
      </w:r>
    </w:p>
    <w:p w14:paraId="0CEA367A">
      <w:pPr>
        <w:keepNext w:val="0"/>
        <w:keepLines w:val="0"/>
        <w:pageBreakBefore w:val="0"/>
        <w:widowControl w:val="0"/>
        <w:kinsoku/>
        <w:wordWrap/>
        <w:overflowPunct/>
        <w:topLinePunct w:val="0"/>
        <w:autoSpaceDE/>
        <w:autoSpaceDN/>
        <w:bidi w:val="0"/>
        <w:adjustRightInd/>
        <w:snapToGrid/>
        <w:spacing w:line="400" w:lineRule="exact"/>
        <w:ind w:firstLine="486"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18.4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14:paraId="0DDA7F3C">
      <w:pPr>
        <w:keepNext w:val="0"/>
        <w:keepLines w:val="0"/>
        <w:pageBreakBefore w:val="0"/>
        <w:widowControl w:val="0"/>
        <w:kinsoku/>
        <w:wordWrap/>
        <w:overflowPunct/>
        <w:topLinePunct w:val="0"/>
        <w:autoSpaceDE/>
        <w:autoSpaceDN/>
        <w:bidi w:val="0"/>
        <w:adjustRightInd/>
        <w:snapToGrid/>
        <w:spacing w:line="400" w:lineRule="exact"/>
        <w:ind w:firstLine="486"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color w:val="auto"/>
          <w:sz w:val="24"/>
          <w:szCs w:val="24"/>
          <w:highlight w:val="none"/>
        </w:rPr>
        <w:t>19.磋商</w:t>
      </w:r>
      <w:r>
        <w:rPr>
          <w:rFonts w:hint="eastAsia" w:ascii="宋体" w:hAnsi="宋体" w:eastAsia="宋体" w:cs="宋体"/>
          <w:b/>
          <w:bCs/>
          <w:color w:val="auto"/>
          <w:sz w:val="24"/>
          <w:szCs w:val="24"/>
          <w:highlight w:val="none"/>
        </w:rPr>
        <w:t>程序及成交供应商的确定</w:t>
      </w:r>
    </w:p>
    <w:p w14:paraId="0B105D2A">
      <w:pPr>
        <w:keepNext w:val="0"/>
        <w:keepLines w:val="0"/>
        <w:pageBreakBefore w:val="0"/>
        <w:widowControl w:val="0"/>
        <w:kinsoku/>
        <w:wordWrap/>
        <w:overflowPunct/>
        <w:topLinePunct w:val="0"/>
        <w:autoSpaceDE/>
        <w:autoSpaceDN/>
        <w:bidi w:val="0"/>
        <w:adjustRightInd/>
        <w:snapToGrid/>
        <w:spacing w:line="400" w:lineRule="exact"/>
        <w:ind w:firstLine="486" w:firstLineChars="200"/>
        <w:textAlignment w:val="auto"/>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19.1磋商</w:t>
      </w:r>
      <w:r>
        <w:rPr>
          <w:rFonts w:hint="eastAsia" w:ascii="宋体" w:hAnsi="宋体" w:eastAsia="宋体" w:cs="宋体"/>
          <w:b/>
          <w:bCs/>
          <w:color w:val="auto"/>
          <w:sz w:val="24"/>
          <w:szCs w:val="24"/>
          <w:highlight w:val="none"/>
        </w:rPr>
        <w:t>程序</w:t>
      </w:r>
    </w:p>
    <w:p w14:paraId="49F0EAD9">
      <w:pPr>
        <w:keepNext w:val="0"/>
        <w:keepLines w:val="0"/>
        <w:pageBreakBefore w:val="0"/>
        <w:widowControl w:val="0"/>
        <w:kinsoku/>
        <w:wordWrap/>
        <w:overflowPunct/>
        <w:topLinePunct w:val="0"/>
        <w:autoSpaceDE/>
        <w:autoSpaceDN/>
        <w:bidi w:val="0"/>
        <w:adjustRightInd/>
        <w:snapToGrid/>
        <w:spacing w:line="400" w:lineRule="exact"/>
        <w:ind w:firstLine="486"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本次磋商采取两轮</w:t>
      </w:r>
      <w:r>
        <w:rPr>
          <w:rFonts w:hint="eastAsia" w:ascii="宋体" w:hAnsi="宋体" w:eastAsia="宋体" w:cs="宋体"/>
          <w:color w:val="auto"/>
          <w:sz w:val="24"/>
          <w:szCs w:val="24"/>
          <w:highlight w:val="none"/>
          <w:lang w:eastAsia="zh-CN"/>
        </w:rPr>
        <w:t>磋商</w:t>
      </w:r>
      <w:r>
        <w:rPr>
          <w:rFonts w:hint="eastAsia" w:ascii="宋体" w:hAnsi="宋体" w:eastAsia="宋体" w:cs="宋体"/>
          <w:color w:val="auto"/>
          <w:sz w:val="24"/>
          <w:szCs w:val="24"/>
          <w:highlight w:val="none"/>
        </w:rPr>
        <w:t>方式进行，磋商小组所有成员集中与每一位供应商分别进行</w:t>
      </w:r>
      <w:r>
        <w:rPr>
          <w:rFonts w:hint="eastAsia" w:ascii="宋体" w:hAnsi="宋体" w:eastAsia="宋体" w:cs="宋体"/>
          <w:color w:val="auto"/>
          <w:sz w:val="24"/>
          <w:szCs w:val="24"/>
          <w:highlight w:val="none"/>
          <w:lang w:eastAsia="zh-CN"/>
        </w:rPr>
        <w:t>磋商</w:t>
      </w:r>
      <w:r>
        <w:rPr>
          <w:rFonts w:hint="eastAsia" w:ascii="宋体" w:hAnsi="宋体" w:eastAsia="宋体" w:cs="宋体"/>
          <w:color w:val="auto"/>
          <w:sz w:val="24"/>
          <w:szCs w:val="24"/>
          <w:highlight w:val="none"/>
        </w:rPr>
        <w:t>。在</w:t>
      </w:r>
      <w:r>
        <w:rPr>
          <w:rFonts w:hint="eastAsia" w:ascii="宋体" w:hAnsi="宋体" w:eastAsia="宋体" w:cs="宋体"/>
          <w:color w:val="auto"/>
          <w:sz w:val="24"/>
          <w:szCs w:val="24"/>
          <w:highlight w:val="none"/>
          <w:lang w:eastAsia="zh-CN"/>
        </w:rPr>
        <w:t>磋商</w:t>
      </w:r>
      <w:r>
        <w:rPr>
          <w:rFonts w:hint="eastAsia" w:ascii="宋体" w:hAnsi="宋体" w:eastAsia="宋体" w:cs="宋体"/>
          <w:color w:val="auto"/>
          <w:sz w:val="24"/>
          <w:szCs w:val="24"/>
          <w:highlight w:val="none"/>
        </w:rPr>
        <w:t>中，</w:t>
      </w:r>
      <w:r>
        <w:rPr>
          <w:rFonts w:hint="eastAsia" w:ascii="宋体" w:hAnsi="宋体" w:eastAsia="宋体" w:cs="宋体"/>
          <w:color w:val="auto"/>
          <w:sz w:val="24"/>
          <w:szCs w:val="24"/>
          <w:highlight w:val="none"/>
          <w:lang w:eastAsia="zh-CN"/>
        </w:rPr>
        <w:t>磋商</w:t>
      </w:r>
      <w:r>
        <w:rPr>
          <w:rFonts w:hint="eastAsia" w:ascii="宋体" w:hAnsi="宋体" w:eastAsia="宋体" w:cs="宋体"/>
          <w:color w:val="auto"/>
          <w:sz w:val="24"/>
          <w:szCs w:val="24"/>
          <w:highlight w:val="none"/>
        </w:rPr>
        <w:t>的任何一方不得透露与</w:t>
      </w:r>
      <w:r>
        <w:rPr>
          <w:rFonts w:hint="eastAsia" w:ascii="宋体" w:hAnsi="宋体" w:eastAsia="宋体" w:cs="宋体"/>
          <w:color w:val="auto"/>
          <w:sz w:val="24"/>
          <w:szCs w:val="24"/>
          <w:highlight w:val="none"/>
          <w:lang w:eastAsia="zh-CN"/>
        </w:rPr>
        <w:t>磋商</w:t>
      </w:r>
      <w:r>
        <w:rPr>
          <w:rFonts w:hint="eastAsia" w:ascii="宋体" w:hAnsi="宋体" w:eastAsia="宋体" w:cs="宋体"/>
          <w:color w:val="auto"/>
          <w:sz w:val="24"/>
          <w:szCs w:val="24"/>
          <w:highlight w:val="none"/>
        </w:rPr>
        <w:t>有关的其他供应商的技术资料、价格和其他信息。</w:t>
      </w:r>
    </w:p>
    <w:p w14:paraId="1A390B1A">
      <w:pPr>
        <w:keepNext w:val="0"/>
        <w:keepLines w:val="0"/>
        <w:pageBreakBefore w:val="0"/>
        <w:widowControl w:val="0"/>
        <w:kinsoku/>
        <w:wordWrap/>
        <w:overflowPunct/>
        <w:topLinePunct w:val="0"/>
        <w:autoSpaceDE/>
        <w:autoSpaceDN/>
        <w:bidi w:val="0"/>
        <w:adjustRightInd/>
        <w:snapToGrid/>
        <w:spacing w:line="400" w:lineRule="exact"/>
        <w:ind w:firstLine="486"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1、资格审查：供应商将根据本项目磋商要求提交的资料及磋商响应文件交磋商小组评审校验，不具备资质和条件的供应商将首先被淘汰，不能进入到下一个程序。</w:t>
      </w:r>
    </w:p>
    <w:p w14:paraId="39161ED7">
      <w:pPr>
        <w:keepNext w:val="0"/>
        <w:keepLines w:val="0"/>
        <w:pageBreakBefore w:val="0"/>
        <w:widowControl w:val="0"/>
        <w:kinsoku/>
        <w:wordWrap/>
        <w:overflowPunct/>
        <w:topLinePunct w:val="0"/>
        <w:autoSpaceDE/>
        <w:autoSpaceDN/>
        <w:bidi w:val="0"/>
        <w:adjustRightInd/>
        <w:snapToGrid/>
        <w:spacing w:line="400" w:lineRule="exact"/>
        <w:ind w:firstLine="486"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2、供应商用可根据现场情况就公司情况、工作方案及安排、后期协调服务等方面进行陈述；</w:t>
      </w:r>
    </w:p>
    <w:p w14:paraId="6B553353">
      <w:pPr>
        <w:keepNext w:val="0"/>
        <w:keepLines w:val="0"/>
        <w:pageBreakBefore w:val="0"/>
        <w:widowControl w:val="0"/>
        <w:kinsoku/>
        <w:wordWrap/>
        <w:overflowPunct/>
        <w:topLinePunct w:val="0"/>
        <w:autoSpaceDE/>
        <w:autoSpaceDN/>
        <w:bidi w:val="0"/>
        <w:adjustRightInd/>
        <w:snapToGrid/>
        <w:spacing w:line="400" w:lineRule="exact"/>
        <w:ind w:firstLine="486"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3、第一轮</w:t>
      </w:r>
      <w:r>
        <w:rPr>
          <w:rFonts w:hint="eastAsia" w:ascii="宋体" w:hAnsi="宋体" w:eastAsia="宋体" w:cs="宋体"/>
          <w:color w:val="auto"/>
          <w:sz w:val="24"/>
          <w:szCs w:val="24"/>
          <w:highlight w:val="none"/>
          <w:lang w:eastAsia="zh-CN"/>
        </w:rPr>
        <w:t>磋商</w:t>
      </w:r>
      <w:r>
        <w:rPr>
          <w:rFonts w:hint="eastAsia" w:ascii="宋体" w:hAnsi="宋体" w:eastAsia="宋体" w:cs="宋体"/>
          <w:color w:val="auto"/>
          <w:sz w:val="24"/>
          <w:szCs w:val="24"/>
          <w:highlight w:val="none"/>
        </w:rPr>
        <w:t>：供应商安排本次磋商项目技术专业人员参与</w:t>
      </w:r>
      <w:r>
        <w:rPr>
          <w:rFonts w:hint="eastAsia" w:ascii="宋体" w:hAnsi="宋体" w:eastAsia="宋体" w:cs="宋体"/>
          <w:color w:val="auto"/>
          <w:sz w:val="24"/>
          <w:szCs w:val="24"/>
          <w:highlight w:val="none"/>
          <w:lang w:eastAsia="zh-CN"/>
        </w:rPr>
        <w:t>磋商</w:t>
      </w:r>
      <w:r>
        <w:rPr>
          <w:rFonts w:hint="eastAsia" w:ascii="宋体" w:hAnsi="宋体" w:eastAsia="宋体" w:cs="宋体"/>
          <w:color w:val="auto"/>
          <w:sz w:val="24"/>
          <w:szCs w:val="24"/>
          <w:highlight w:val="none"/>
        </w:rPr>
        <w:t>，磋商小组就公司情况、工作方案及安排、后期协调服务等方面的问题对参与</w:t>
      </w:r>
      <w:r>
        <w:rPr>
          <w:rFonts w:hint="eastAsia" w:ascii="宋体" w:hAnsi="宋体" w:eastAsia="宋体" w:cs="宋体"/>
          <w:color w:val="auto"/>
          <w:sz w:val="24"/>
          <w:szCs w:val="24"/>
          <w:highlight w:val="none"/>
          <w:lang w:eastAsia="zh-CN"/>
        </w:rPr>
        <w:t>磋商</w:t>
      </w:r>
      <w:r>
        <w:rPr>
          <w:rFonts w:hint="eastAsia" w:ascii="宋体" w:hAnsi="宋体" w:eastAsia="宋体" w:cs="宋体"/>
          <w:color w:val="auto"/>
          <w:sz w:val="24"/>
          <w:szCs w:val="24"/>
          <w:highlight w:val="none"/>
        </w:rPr>
        <w:t>的供应商进行提问或询问，参与</w:t>
      </w:r>
      <w:r>
        <w:rPr>
          <w:rFonts w:hint="eastAsia" w:ascii="宋体" w:hAnsi="宋体" w:eastAsia="宋体" w:cs="宋体"/>
          <w:color w:val="auto"/>
          <w:sz w:val="24"/>
          <w:szCs w:val="24"/>
          <w:highlight w:val="none"/>
          <w:lang w:eastAsia="zh-CN"/>
        </w:rPr>
        <w:t>磋商</w:t>
      </w:r>
      <w:r>
        <w:rPr>
          <w:rFonts w:hint="eastAsia" w:ascii="宋体" w:hAnsi="宋体" w:eastAsia="宋体" w:cs="宋体"/>
          <w:color w:val="auto"/>
          <w:sz w:val="24"/>
          <w:szCs w:val="24"/>
          <w:highlight w:val="none"/>
        </w:rPr>
        <w:t>的供应商必须如实回答，供应商也可以就相关问题向磋商小组进行询问，但不得提出违反</w:t>
      </w:r>
      <w:r>
        <w:rPr>
          <w:rFonts w:hint="eastAsia" w:ascii="宋体" w:hAnsi="宋体" w:eastAsia="宋体" w:cs="宋体"/>
          <w:color w:val="auto"/>
          <w:sz w:val="24"/>
          <w:szCs w:val="24"/>
          <w:highlight w:val="none"/>
          <w:lang w:eastAsia="zh-CN"/>
        </w:rPr>
        <w:t>磋商</w:t>
      </w:r>
      <w:r>
        <w:rPr>
          <w:rFonts w:hint="eastAsia" w:ascii="宋体" w:hAnsi="宋体" w:eastAsia="宋体" w:cs="宋体"/>
          <w:color w:val="auto"/>
          <w:sz w:val="24"/>
          <w:szCs w:val="24"/>
          <w:highlight w:val="none"/>
        </w:rPr>
        <w:t>原则的问题。</w:t>
      </w:r>
    </w:p>
    <w:p w14:paraId="5C4D1A7A">
      <w:pPr>
        <w:keepNext w:val="0"/>
        <w:keepLines w:val="0"/>
        <w:pageBreakBefore w:val="0"/>
        <w:widowControl w:val="0"/>
        <w:kinsoku/>
        <w:wordWrap/>
        <w:overflowPunct/>
        <w:topLinePunct w:val="0"/>
        <w:autoSpaceDE/>
        <w:autoSpaceDN/>
        <w:bidi w:val="0"/>
        <w:adjustRightInd/>
        <w:snapToGrid/>
        <w:spacing w:line="400" w:lineRule="exact"/>
        <w:ind w:firstLine="486"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4、确定参加第二轮</w:t>
      </w:r>
      <w:r>
        <w:rPr>
          <w:rFonts w:hint="eastAsia" w:ascii="宋体" w:hAnsi="宋体" w:eastAsia="宋体" w:cs="宋体"/>
          <w:color w:val="auto"/>
          <w:sz w:val="24"/>
          <w:szCs w:val="24"/>
          <w:highlight w:val="none"/>
          <w:lang w:eastAsia="zh-CN"/>
        </w:rPr>
        <w:t>磋商</w:t>
      </w:r>
      <w:r>
        <w:rPr>
          <w:rFonts w:hint="eastAsia" w:ascii="宋体" w:hAnsi="宋体" w:eastAsia="宋体" w:cs="宋体"/>
          <w:color w:val="auto"/>
          <w:sz w:val="24"/>
          <w:szCs w:val="24"/>
          <w:highlight w:val="none"/>
        </w:rPr>
        <w:t>的供应商：</w:t>
      </w:r>
      <w:r>
        <w:rPr>
          <w:rFonts w:hint="eastAsia" w:ascii="宋体" w:hAnsi="宋体" w:eastAsia="宋体" w:cs="宋体"/>
          <w:color w:val="auto"/>
          <w:sz w:val="24"/>
          <w:szCs w:val="24"/>
          <w:highlight w:val="none"/>
          <w:lang w:eastAsia="zh-CN"/>
        </w:rPr>
        <w:t>磋商</w:t>
      </w:r>
      <w:r>
        <w:rPr>
          <w:rFonts w:hint="eastAsia" w:ascii="宋体" w:hAnsi="宋体" w:eastAsia="宋体" w:cs="宋体"/>
          <w:color w:val="auto"/>
          <w:sz w:val="24"/>
          <w:szCs w:val="24"/>
          <w:highlight w:val="none"/>
        </w:rPr>
        <w:t>小组综合</w:t>
      </w:r>
      <w:r>
        <w:rPr>
          <w:rFonts w:hint="eastAsia" w:ascii="宋体" w:hAnsi="宋体" w:eastAsia="宋体" w:cs="宋体"/>
          <w:color w:val="auto"/>
          <w:sz w:val="24"/>
          <w:szCs w:val="24"/>
          <w:highlight w:val="none"/>
          <w:lang w:eastAsia="zh-CN"/>
        </w:rPr>
        <w:t>磋商</w:t>
      </w:r>
      <w:r>
        <w:rPr>
          <w:rFonts w:hint="eastAsia" w:ascii="宋体" w:hAnsi="宋体" w:eastAsia="宋体" w:cs="宋体"/>
          <w:color w:val="auto"/>
          <w:sz w:val="24"/>
          <w:szCs w:val="24"/>
          <w:highlight w:val="none"/>
        </w:rPr>
        <w:t>情况，确定符合本次磋商项目要求的供应商，进入第二轮</w:t>
      </w:r>
      <w:r>
        <w:rPr>
          <w:rFonts w:hint="eastAsia" w:ascii="宋体" w:hAnsi="宋体" w:eastAsia="宋体" w:cs="宋体"/>
          <w:color w:val="auto"/>
          <w:sz w:val="24"/>
          <w:szCs w:val="24"/>
          <w:highlight w:val="none"/>
          <w:lang w:eastAsia="zh-CN"/>
        </w:rPr>
        <w:t>磋商</w:t>
      </w:r>
      <w:r>
        <w:rPr>
          <w:rFonts w:hint="eastAsia" w:ascii="宋体" w:hAnsi="宋体" w:eastAsia="宋体" w:cs="宋体"/>
          <w:color w:val="auto"/>
          <w:sz w:val="24"/>
          <w:szCs w:val="24"/>
          <w:highlight w:val="none"/>
        </w:rPr>
        <w:t>。未进入第二轮</w:t>
      </w:r>
      <w:r>
        <w:rPr>
          <w:rFonts w:hint="eastAsia" w:ascii="宋体" w:hAnsi="宋体" w:eastAsia="宋体" w:cs="宋体"/>
          <w:color w:val="auto"/>
          <w:sz w:val="24"/>
          <w:szCs w:val="24"/>
          <w:highlight w:val="none"/>
          <w:lang w:eastAsia="zh-CN"/>
        </w:rPr>
        <w:t>磋商</w:t>
      </w:r>
      <w:r>
        <w:rPr>
          <w:rFonts w:hint="eastAsia" w:ascii="宋体" w:hAnsi="宋体" w:eastAsia="宋体" w:cs="宋体"/>
          <w:color w:val="auto"/>
          <w:sz w:val="24"/>
          <w:szCs w:val="24"/>
          <w:highlight w:val="none"/>
        </w:rPr>
        <w:t>的供应商自动退出。</w:t>
      </w:r>
    </w:p>
    <w:p w14:paraId="44461917">
      <w:pPr>
        <w:keepNext w:val="0"/>
        <w:keepLines w:val="0"/>
        <w:pageBreakBefore w:val="0"/>
        <w:widowControl w:val="0"/>
        <w:kinsoku/>
        <w:wordWrap/>
        <w:overflowPunct/>
        <w:topLinePunct w:val="0"/>
        <w:autoSpaceDE/>
        <w:autoSpaceDN/>
        <w:bidi w:val="0"/>
        <w:adjustRightInd/>
        <w:snapToGrid/>
        <w:spacing w:line="400" w:lineRule="exact"/>
        <w:ind w:firstLine="486"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5、第二轮</w:t>
      </w:r>
      <w:r>
        <w:rPr>
          <w:rFonts w:hint="eastAsia" w:ascii="宋体" w:hAnsi="宋体" w:eastAsia="宋体" w:cs="宋体"/>
          <w:color w:val="auto"/>
          <w:sz w:val="24"/>
          <w:szCs w:val="24"/>
          <w:highlight w:val="none"/>
          <w:lang w:eastAsia="zh-CN"/>
        </w:rPr>
        <w:t>磋商</w:t>
      </w:r>
      <w:r>
        <w:rPr>
          <w:rFonts w:hint="eastAsia" w:ascii="宋体" w:hAnsi="宋体" w:eastAsia="宋体" w:cs="宋体"/>
          <w:color w:val="auto"/>
          <w:sz w:val="24"/>
          <w:szCs w:val="24"/>
          <w:highlight w:val="none"/>
        </w:rPr>
        <w:t>：磋商小组分别与进入第二轮</w:t>
      </w:r>
      <w:r>
        <w:rPr>
          <w:rFonts w:hint="eastAsia" w:ascii="宋体" w:hAnsi="宋体" w:eastAsia="宋体" w:cs="宋体"/>
          <w:color w:val="auto"/>
          <w:sz w:val="24"/>
          <w:szCs w:val="24"/>
          <w:highlight w:val="none"/>
          <w:lang w:eastAsia="zh-CN"/>
        </w:rPr>
        <w:t>磋商</w:t>
      </w:r>
      <w:r>
        <w:rPr>
          <w:rFonts w:hint="eastAsia" w:ascii="宋体" w:hAnsi="宋体" w:eastAsia="宋体" w:cs="宋体"/>
          <w:color w:val="auto"/>
          <w:sz w:val="24"/>
          <w:szCs w:val="24"/>
          <w:highlight w:val="none"/>
        </w:rPr>
        <w:t>的供应商，就工作方案及安排、付款方式、价格、后期协调服务等一系列内容进行</w:t>
      </w:r>
      <w:r>
        <w:rPr>
          <w:rFonts w:hint="eastAsia" w:ascii="宋体" w:hAnsi="宋体" w:eastAsia="宋体" w:cs="宋体"/>
          <w:color w:val="auto"/>
          <w:sz w:val="24"/>
          <w:szCs w:val="24"/>
          <w:highlight w:val="none"/>
          <w:lang w:eastAsia="zh-CN"/>
        </w:rPr>
        <w:t>磋商</w:t>
      </w:r>
      <w:r>
        <w:rPr>
          <w:rFonts w:hint="eastAsia" w:ascii="宋体" w:hAnsi="宋体" w:eastAsia="宋体" w:cs="宋体"/>
          <w:color w:val="auto"/>
          <w:sz w:val="24"/>
          <w:szCs w:val="24"/>
          <w:highlight w:val="none"/>
        </w:rPr>
        <w:t>。</w:t>
      </w:r>
    </w:p>
    <w:p w14:paraId="50A21563">
      <w:pPr>
        <w:keepNext w:val="0"/>
        <w:keepLines w:val="0"/>
        <w:pageBreakBefore w:val="0"/>
        <w:widowControl w:val="0"/>
        <w:kinsoku/>
        <w:wordWrap/>
        <w:overflowPunct/>
        <w:topLinePunct w:val="0"/>
        <w:autoSpaceDE/>
        <w:autoSpaceDN/>
        <w:bidi w:val="0"/>
        <w:adjustRightInd/>
        <w:snapToGrid/>
        <w:spacing w:line="400" w:lineRule="exact"/>
        <w:ind w:firstLine="486"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(1)磋商小组就上述问题向供应商提问。</w:t>
      </w:r>
    </w:p>
    <w:p w14:paraId="7EE181B5">
      <w:pPr>
        <w:keepNext w:val="0"/>
        <w:keepLines w:val="0"/>
        <w:pageBreakBefore w:val="0"/>
        <w:widowControl w:val="0"/>
        <w:kinsoku/>
        <w:wordWrap/>
        <w:overflowPunct/>
        <w:topLinePunct w:val="0"/>
        <w:autoSpaceDE/>
        <w:autoSpaceDN/>
        <w:bidi w:val="0"/>
        <w:adjustRightInd/>
        <w:snapToGrid/>
        <w:spacing w:line="400" w:lineRule="exact"/>
        <w:ind w:firstLine="486"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(2)供应商结合本公司的条件和响应文件，回答磋商小组提出的问题；供应商既可以以磋商响应文件的报价作为最终报价，也可抛开磋商响应文件的报价，根据</w:t>
      </w:r>
      <w:r>
        <w:rPr>
          <w:rFonts w:hint="eastAsia" w:ascii="宋体" w:hAnsi="宋体" w:eastAsia="宋体" w:cs="宋体"/>
          <w:color w:val="auto"/>
          <w:sz w:val="24"/>
          <w:szCs w:val="24"/>
          <w:highlight w:val="none"/>
          <w:lang w:eastAsia="zh-CN"/>
        </w:rPr>
        <w:t>磋商</w:t>
      </w:r>
      <w:r>
        <w:rPr>
          <w:rFonts w:hint="eastAsia" w:ascii="宋体" w:hAnsi="宋体" w:eastAsia="宋体" w:cs="宋体"/>
          <w:color w:val="auto"/>
          <w:sz w:val="24"/>
          <w:szCs w:val="24"/>
          <w:highlight w:val="none"/>
        </w:rPr>
        <w:t>情况重新确定新的报价作为最终报价。</w:t>
      </w:r>
    </w:p>
    <w:p w14:paraId="64B700D1">
      <w:pPr>
        <w:keepNext w:val="0"/>
        <w:keepLines w:val="0"/>
        <w:pageBreakBefore w:val="0"/>
        <w:widowControl w:val="0"/>
        <w:kinsoku/>
        <w:wordWrap/>
        <w:overflowPunct/>
        <w:topLinePunct w:val="0"/>
        <w:autoSpaceDE/>
        <w:autoSpaceDN/>
        <w:bidi w:val="0"/>
        <w:adjustRightInd/>
        <w:snapToGrid/>
        <w:spacing w:line="400" w:lineRule="exact"/>
        <w:ind w:firstLine="486"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(3)第二轮</w:t>
      </w:r>
      <w:r>
        <w:rPr>
          <w:rFonts w:hint="eastAsia" w:ascii="宋体" w:hAnsi="宋体" w:eastAsia="宋体" w:cs="宋体"/>
          <w:color w:val="auto"/>
          <w:sz w:val="24"/>
          <w:szCs w:val="24"/>
          <w:highlight w:val="none"/>
          <w:lang w:eastAsia="zh-CN"/>
        </w:rPr>
        <w:t>磋商</w:t>
      </w:r>
      <w:r>
        <w:rPr>
          <w:rFonts w:hint="eastAsia" w:ascii="宋体" w:hAnsi="宋体" w:eastAsia="宋体" w:cs="宋体"/>
          <w:color w:val="auto"/>
          <w:sz w:val="24"/>
          <w:szCs w:val="24"/>
          <w:highlight w:val="none"/>
        </w:rPr>
        <w:t>主要是报价，供应商可以维持第一轮的报价不变，也可以对第一轮的报价进行修改，给予最终报价（必须是书面的，且有供应商法人或其授权委托人签名），第二轮报价一经报出，不得更改，并具有法律效力，评分将以最终报价为准。</w:t>
      </w:r>
    </w:p>
    <w:p w14:paraId="22910E5A">
      <w:pPr>
        <w:keepNext w:val="0"/>
        <w:keepLines w:val="0"/>
        <w:pageBreakBefore w:val="0"/>
        <w:widowControl w:val="0"/>
        <w:kinsoku/>
        <w:wordWrap/>
        <w:overflowPunct/>
        <w:topLinePunct w:val="0"/>
        <w:autoSpaceDE/>
        <w:autoSpaceDN/>
        <w:bidi w:val="0"/>
        <w:adjustRightInd/>
        <w:snapToGrid/>
        <w:spacing w:line="400" w:lineRule="exact"/>
        <w:ind w:firstLine="486"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19.2成交供应商的确定</w:t>
      </w:r>
    </w:p>
    <w:p w14:paraId="77807058">
      <w:pPr>
        <w:keepNext w:val="0"/>
        <w:keepLines w:val="0"/>
        <w:pageBreakBefore w:val="0"/>
        <w:widowControl w:val="0"/>
        <w:kinsoku/>
        <w:wordWrap/>
        <w:overflowPunct/>
        <w:topLinePunct w:val="0"/>
        <w:autoSpaceDE/>
        <w:autoSpaceDN/>
        <w:bidi w:val="0"/>
        <w:adjustRightInd/>
        <w:snapToGrid/>
        <w:spacing w:line="400" w:lineRule="exact"/>
        <w:ind w:firstLine="486"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所有参加</w:t>
      </w:r>
      <w:r>
        <w:rPr>
          <w:rFonts w:hint="eastAsia" w:ascii="宋体" w:hAnsi="宋体" w:eastAsia="宋体" w:cs="宋体"/>
          <w:color w:val="auto"/>
          <w:sz w:val="24"/>
          <w:szCs w:val="24"/>
          <w:highlight w:val="none"/>
          <w:lang w:eastAsia="zh-CN"/>
        </w:rPr>
        <w:t>磋商</w:t>
      </w:r>
      <w:r>
        <w:rPr>
          <w:rFonts w:hint="eastAsia" w:ascii="宋体" w:hAnsi="宋体" w:eastAsia="宋体" w:cs="宋体"/>
          <w:color w:val="auto"/>
          <w:sz w:val="24"/>
          <w:szCs w:val="24"/>
          <w:highlight w:val="none"/>
        </w:rPr>
        <w:t>的供应商都应当按照磋商小组的要求，在规定的时间内，就工作方案及安排、付款方式、价格、后期协调服务等进行两轮</w:t>
      </w:r>
      <w:r>
        <w:rPr>
          <w:rFonts w:hint="eastAsia" w:ascii="宋体" w:hAnsi="宋体" w:eastAsia="宋体" w:cs="宋体"/>
          <w:color w:val="auto"/>
          <w:sz w:val="24"/>
          <w:szCs w:val="24"/>
          <w:highlight w:val="none"/>
          <w:lang w:eastAsia="zh-CN"/>
        </w:rPr>
        <w:t>磋商</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磋商</w:t>
      </w:r>
      <w:r>
        <w:rPr>
          <w:rFonts w:hint="eastAsia" w:ascii="宋体" w:hAnsi="宋体" w:eastAsia="宋体" w:cs="宋体"/>
          <w:color w:val="auto"/>
          <w:sz w:val="24"/>
          <w:szCs w:val="24"/>
          <w:highlight w:val="none"/>
        </w:rPr>
        <w:t>结束后,由磋商小组根据最终评分结果向采购人推荐中标候选人名单。</w:t>
      </w:r>
    </w:p>
    <w:p w14:paraId="7DE8A286">
      <w:pPr>
        <w:keepNext w:val="0"/>
        <w:keepLines w:val="0"/>
        <w:pageBreakBefore w:val="0"/>
        <w:widowControl w:val="0"/>
        <w:kinsoku/>
        <w:wordWrap/>
        <w:overflowPunct/>
        <w:topLinePunct w:val="0"/>
        <w:autoSpaceDE/>
        <w:autoSpaceDN/>
        <w:bidi w:val="0"/>
        <w:adjustRightInd/>
        <w:snapToGrid/>
        <w:spacing w:line="400" w:lineRule="exact"/>
        <w:ind w:firstLine="486"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为了有助于磋商响应文件的审查、评价和比较，磋商小组可以要求参与</w:t>
      </w:r>
      <w:r>
        <w:rPr>
          <w:rFonts w:hint="eastAsia" w:ascii="宋体" w:hAnsi="宋体" w:eastAsia="宋体" w:cs="宋体"/>
          <w:color w:val="auto"/>
          <w:sz w:val="24"/>
          <w:szCs w:val="24"/>
          <w:highlight w:val="none"/>
          <w:lang w:eastAsia="zh-CN"/>
        </w:rPr>
        <w:t>磋商</w:t>
      </w:r>
      <w:r>
        <w:rPr>
          <w:rFonts w:hint="eastAsia" w:ascii="宋体" w:hAnsi="宋体" w:eastAsia="宋体" w:cs="宋体"/>
          <w:color w:val="auto"/>
          <w:sz w:val="24"/>
          <w:szCs w:val="24"/>
          <w:highlight w:val="none"/>
        </w:rPr>
        <w:t>的供应商澄清其磋商响应文件。有关澄清的内容与答复，应以口头或书面形式进行。</w:t>
      </w:r>
      <w:r>
        <w:rPr>
          <w:rFonts w:hint="eastAsia" w:ascii="宋体" w:hAnsi="宋体" w:eastAsia="宋体" w:cs="宋体"/>
          <w:color w:val="auto"/>
          <w:sz w:val="24"/>
          <w:szCs w:val="24"/>
          <w:highlight w:val="none"/>
          <w:lang w:eastAsia="zh-CN"/>
        </w:rPr>
        <w:t>磋商</w:t>
      </w:r>
      <w:r>
        <w:rPr>
          <w:rFonts w:hint="eastAsia" w:ascii="宋体" w:hAnsi="宋体" w:eastAsia="宋体" w:cs="宋体"/>
          <w:color w:val="auto"/>
          <w:sz w:val="24"/>
          <w:szCs w:val="24"/>
          <w:highlight w:val="none"/>
        </w:rPr>
        <w:t>会上，若供应商认为磋商小组组成人员中有应回避人员，可当场提出，经核实理由后，应予回避。</w:t>
      </w:r>
    </w:p>
    <w:p w14:paraId="301613FB">
      <w:pPr>
        <w:keepNext w:val="0"/>
        <w:keepLines w:val="0"/>
        <w:pageBreakBefore w:val="0"/>
        <w:widowControl w:val="0"/>
        <w:kinsoku/>
        <w:wordWrap/>
        <w:overflowPunct/>
        <w:topLinePunct w:val="0"/>
        <w:autoSpaceDE/>
        <w:autoSpaceDN/>
        <w:bidi w:val="0"/>
        <w:adjustRightInd/>
        <w:snapToGrid/>
        <w:spacing w:line="400" w:lineRule="exact"/>
        <w:ind w:firstLine="486"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磋商小组对所有通过初步评审满足磋商文件实质性要求的磋商响应文件进行详细评审及评分，未通过初步评审的磋商响应文件不参与详细评审及评分。本次评标采用综合评分法。按照综合评分标准进行评分，进行系统的评审和比较，选定能够最大限度满足磋商文件规定的各项评价标准，最终磋商小组会根据综合评分情况，按照评审得分由高至低顺序推荐3名中标候选人。</w:t>
      </w:r>
    </w:p>
    <w:p w14:paraId="56C75A9A">
      <w:pPr>
        <w:keepNext w:val="0"/>
        <w:keepLines w:val="0"/>
        <w:pageBreakBefore w:val="0"/>
        <w:widowControl w:val="0"/>
        <w:kinsoku/>
        <w:wordWrap/>
        <w:overflowPunct/>
        <w:topLinePunct w:val="0"/>
        <w:autoSpaceDE/>
        <w:autoSpaceDN/>
        <w:bidi w:val="0"/>
        <w:adjustRightInd/>
        <w:snapToGrid/>
        <w:spacing w:line="400" w:lineRule="exact"/>
        <w:ind w:firstLine="486" w:firstLineChars="200"/>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19.3评审标准</w:t>
      </w:r>
    </w:p>
    <w:p w14:paraId="03669057">
      <w:pPr>
        <w:keepNext w:val="0"/>
        <w:keepLines w:val="0"/>
        <w:pageBreakBefore w:val="0"/>
        <w:widowControl w:val="0"/>
        <w:kinsoku/>
        <w:wordWrap/>
        <w:overflowPunct/>
        <w:topLinePunct w:val="0"/>
        <w:autoSpaceDE/>
        <w:autoSpaceDN/>
        <w:bidi w:val="0"/>
        <w:adjustRightInd/>
        <w:snapToGrid/>
        <w:spacing w:line="400" w:lineRule="exact"/>
        <w:ind w:firstLine="486" w:firstLineChars="200"/>
        <w:textAlignment w:val="auto"/>
        <w:outlineLvl w:val="1"/>
        <w:rPr>
          <w:rFonts w:hint="eastAsia" w:ascii="宋体" w:hAnsi="宋体" w:eastAsia="宋体" w:cs="宋体"/>
          <w:color w:val="auto"/>
          <w:sz w:val="24"/>
          <w:szCs w:val="24"/>
          <w:highlight w:val="none"/>
        </w:rPr>
      </w:pPr>
      <w:bookmarkStart w:id="75" w:name="_Toc8547"/>
      <w:r>
        <w:rPr>
          <w:rFonts w:hint="eastAsia" w:ascii="宋体" w:hAnsi="宋体" w:eastAsia="宋体" w:cs="宋体"/>
          <w:color w:val="auto"/>
          <w:sz w:val="24"/>
          <w:szCs w:val="24"/>
          <w:highlight w:val="none"/>
        </w:rPr>
        <w:t>19.3.1资格审查</w:t>
      </w:r>
      <w:bookmarkEnd w:id="75"/>
    </w:p>
    <w:p w14:paraId="44494BC7">
      <w:pPr>
        <w:keepNext w:val="0"/>
        <w:keepLines w:val="0"/>
        <w:pageBreakBefore w:val="0"/>
        <w:widowControl w:val="0"/>
        <w:kinsoku/>
        <w:wordWrap/>
        <w:overflowPunct/>
        <w:topLinePunct w:val="0"/>
        <w:autoSpaceDE/>
        <w:autoSpaceDN/>
        <w:bidi w:val="0"/>
        <w:adjustRightInd/>
        <w:snapToGrid/>
        <w:spacing w:line="400" w:lineRule="exact"/>
        <w:ind w:firstLine="486"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资格审查采取资格后审的方式</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7"/>
        <w:gridCol w:w="529"/>
        <w:gridCol w:w="2683"/>
        <w:gridCol w:w="5817"/>
      </w:tblGrid>
      <w:tr w14:paraId="0C811C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7" w:type="dxa"/>
            <w:vMerge w:val="restart"/>
            <w:noWrap w:val="0"/>
            <w:vAlign w:val="center"/>
          </w:tcPr>
          <w:p w14:paraId="779FB37D">
            <w:pPr>
              <w:spacing w:line="387" w:lineRule="exact"/>
              <w:jc w:val="center"/>
              <w:rPr>
                <w:rFonts w:hint="eastAsia" w:ascii="宋体" w:hAnsi="宋体" w:cs="宋体"/>
                <w:color w:val="auto"/>
                <w:sz w:val="24"/>
                <w:szCs w:val="24"/>
                <w:highlight w:val="none"/>
                <w:lang w:val="en-US" w:eastAsia="zh-CN"/>
              </w:rPr>
            </w:pPr>
          </w:p>
          <w:p w14:paraId="0655CBFD">
            <w:pPr>
              <w:spacing w:line="387" w:lineRule="exact"/>
              <w:jc w:val="center"/>
              <w:rPr>
                <w:rFonts w:hint="eastAsia" w:ascii="宋体" w:hAnsi="宋体" w:cs="宋体"/>
                <w:color w:val="auto"/>
                <w:sz w:val="24"/>
                <w:szCs w:val="24"/>
                <w:highlight w:val="none"/>
                <w:lang w:val="en-US" w:eastAsia="zh-CN"/>
              </w:rPr>
            </w:pPr>
          </w:p>
          <w:p w14:paraId="22D4F504">
            <w:pPr>
              <w:spacing w:line="387" w:lineRule="exact"/>
              <w:jc w:val="center"/>
              <w:rPr>
                <w:rFonts w:hint="eastAsia" w:ascii="宋体" w:hAnsi="宋体" w:cs="宋体"/>
                <w:color w:val="auto"/>
                <w:sz w:val="24"/>
                <w:szCs w:val="24"/>
                <w:highlight w:val="none"/>
                <w:lang w:val="en-US" w:eastAsia="zh-CN"/>
              </w:rPr>
            </w:pPr>
          </w:p>
          <w:p w14:paraId="4913B863">
            <w:pPr>
              <w:spacing w:line="387" w:lineRule="exact"/>
              <w:jc w:val="both"/>
              <w:rPr>
                <w:rFonts w:hint="eastAsia" w:ascii="宋体" w:hAnsi="宋体" w:cs="宋体"/>
                <w:color w:val="auto"/>
                <w:sz w:val="24"/>
                <w:szCs w:val="24"/>
                <w:highlight w:val="none"/>
                <w:lang w:val="en-US" w:eastAsia="zh-CN"/>
              </w:rPr>
            </w:pPr>
          </w:p>
          <w:p w14:paraId="0856C3A5">
            <w:pPr>
              <w:spacing w:line="387" w:lineRule="exact"/>
              <w:jc w:val="center"/>
              <w:rPr>
                <w:rFonts w:hint="eastAsia" w:ascii="宋体" w:hAnsi="宋体" w:cs="宋体"/>
                <w:color w:val="auto"/>
                <w:sz w:val="24"/>
                <w:szCs w:val="24"/>
                <w:highlight w:val="none"/>
                <w:lang w:val="en-US" w:eastAsia="zh-CN"/>
              </w:rPr>
            </w:pPr>
          </w:p>
          <w:p w14:paraId="69CC68FF">
            <w:pPr>
              <w:spacing w:line="387" w:lineRule="exact"/>
              <w:jc w:val="center"/>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1</w:t>
            </w:r>
          </w:p>
        </w:tc>
        <w:tc>
          <w:tcPr>
            <w:tcW w:w="529" w:type="dxa"/>
            <w:vMerge w:val="restart"/>
            <w:noWrap w:val="0"/>
            <w:vAlign w:val="center"/>
          </w:tcPr>
          <w:p w14:paraId="0A752BBB">
            <w:pPr>
              <w:spacing w:line="387" w:lineRule="exact"/>
              <w:jc w:val="center"/>
              <w:rPr>
                <w:rFonts w:hint="eastAsia" w:ascii="宋体" w:hAnsi="宋体" w:cs="宋体"/>
                <w:color w:val="auto"/>
                <w:sz w:val="24"/>
                <w:szCs w:val="24"/>
                <w:highlight w:val="none"/>
                <w:lang w:val="en-US" w:eastAsia="zh-CN"/>
              </w:rPr>
            </w:pPr>
          </w:p>
          <w:p w14:paraId="66365618">
            <w:pPr>
              <w:spacing w:line="387" w:lineRule="exact"/>
              <w:jc w:val="center"/>
              <w:rPr>
                <w:rFonts w:hint="eastAsia" w:ascii="宋体" w:hAnsi="宋体" w:cs="宋体"/>
                <w:color w:val="auto"/>
                <w:sz w:val="24"/>
                <w:szCs w:val="24"/>
                <w:highlight w:val="none"/>
                <w:lang w:val="en-US" w:eastAsia="zh-CN"/>
              </w:rPr>
            </w:pPr>
          </w:p>
          <w:p w14:paraId="60B3E0D2">
            <w:pPr>
              <w:spacing w:line="387" w:lineRule="exact"/>
              <w:jc w:val="center"/>
              <w:rPr>
                <w:rFonts w:hint="eastAsia" w:ascii="宋体" w:hAnsi="宋体" w:cs="宋体"/>
                <w:color w:val="auto"/>
                <w:sz w:val="24"/>
                <w:szCs w:val="24"/>
                <w:highlight w:val="none"/>
                <w:lang w:val="en-US" w:eastAsia="zh-CN"/>
              </w:rPr>
            </w:pPr>
          </w:p>
          <w:p w14:paraId="30BDB834">
            <w:pPr>
              <w:spacing w:line="387" w:lineRule="exact"/>
              <w:jc w:val="both"/>
              <w:rPr>
                <w:rFonts w:hint="eastAsia" w:ascii="宋体" w:hAnsi="宋体" w:cs="宋体"/>
                <w:color w:val="auto"/>
                <w:sz w:val="24"/>
                <w:szCs w:val="24"/>
                <w:highlight w:val="none"/>
                <w:lang w:val="en-US" w:eastAsia="zh-CN"/>
              </w:rPr>
            </w:pPr>
          </w:p>
          <w:p w14:paraId="6DE0ABE9">
            <w:pPr>
              <w:spacing w:line="387" w:lineRule="exact"/>
              <w:jc w:val="center"/>
              <w:rPr>
                <w:rFonts w:hint="eastAsia" w:ascii="宋体" w:hAnsi="宋体" w:cs="宋体"/>
                <w:color w:val="auto"/>
                <w:sz w:val="24"/>
                <w:szCs w:val="24"/>
                <w:highlight w:val="none"/>
                <w:lang w:val="en-US" w:eastAsia="zh-CN"/>
              </w:rPr>
            </w:pPr>
          </w:p>
          <w:p w14:paraId="5277FE43">
            <w:pPr>
              <w:spacing w:line="387" w:lineRule="exact"/>
              <w:jc w:val="center"/>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资格性审查</w:t>
            </w:r>
          </w:p>
        </w:tc>
        <w:tc>
          <w:tcPr>
            <w:tcW w:w="2683" w:type="dxa"/>
            <w:noWrap w:val="0"/>
            <w:vAlign w:val="center"/>
          </w:tcPr>
          <w:p w14:paraId="74E65F1F">
            <w:pPr>
              <w:spacing w:line="387" w:lineRule="exact"/>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检查内容</w:t>
            </w:r>
          </w:p>
        </w:tc>
        <w:tc>
          <w:tcPr>
            <w:tcW w:w="5817" w:type="dxa"/>
            <w:noWrap w:val="0"/>
            <w:vAlign w:val="center"/>
          </w:tcPr>
          <w:p w14:paraId="599FC920">
            <w:pPr>
              <w:spacing w:line="387" w:lineRule="exact"/>
              <w:ind w:firstLine="486" w:firstLineChars="200"/>
              <w:jc w:val="center"/>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rPr>
              <w:t>检查标准</w:t>
            </w:r>
          </w:p>
        </w:tc>
      </w:tr>
      <w:tr w14:paraId="026444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7" w:type="dxa"/>
            <w:vMerge w:val="continue"/>
            <w:noWrap w:val="0"/>
            <w:vAlign w:val="center"/>
          </w:tcPr>
          <w:p w14:paraId="17F6A5B0">
            <w:pPr>
              <w:keepNext w:val="0"/>
              <w:keepLines w:val="0"/>
              <w:pageBreakBefore w:val="0"/>
              <w:widowControl w:val="0"/>
              <w:kinsoku/>
              <w:wordWrap/>
              <w:overflowPunct/>
              <w:topLinePunct w:val="0"/>
              <w:autoSpaceDE/>
              <w:autoSpaceDN/>
              <w:bidi w:val="0"/>
              <w:adjustRightInd/>
              <w:snapToGrid/>
              <w:spacing w:line="387" w:lineRule="exact"/>
              <w:ind w:firstLine="0" w:firstLineChars="0"/>
              <w:jc w:val="both"/>
              <w:textAlignment w:val="auto"/>
              <w:rPr>
                <w:rFonts w:hint="eastAsia" w:ascii="宋体" w:hAnsi="宋体" w:cs="宋体"/>
                <w:color w:val="auto"/>
                <w:sz w:val="24"/>
                <w:szCs w:val="24"/>
                <w:highlight w:val="none"/>
                <w:lang w:val="en-US" w:eastAsia="zh-CN"/>
              </w:rPr>
            </w:pPr>
          </w:p>
        </w:tc>
        <w:tc>
          <w:tcPr>
            <w:tcW w:w="529" w:type="dxa"/>
            <w:vMerge w:val="continue"/>
            <w:noWrap w:val="0"/>
            <w:vAlign w:val="center"/>
          </w:tcPr>
          <w:p w14:paraId="19B643F7">
            <w:pPr>
              <w:keepNext w:val="0"/>
              <w:keepLines w:val="0"/>
              <w:pageBreakBefore w:val="0"/>
              <w:widowControl w:val="0"/>
              <w:kinsoku/>
              <w:wordWrap/>
              <w:overflowPunct/>
              <w:topLinePunct w:val="0"/>
              <w:autoSpaceDE/>
              <w:autoSpaceDN/>
              <w:bidi w:val="0"/>
              <w:adjustRightInd/>
              <w:snapToGrid/>
              <w:spacing w:line="387" w:lineRule="exact"/>
              <w:ind w:firstLine="0" w:firstLineChars="0"/>
              <w:jc w:val="both"/>
              <w:textAlignment w:val="auto"/>
              <w:rPr>
                <w:rFonts w:hint="eastAsia" w:ascii="宋体" w:hAnsi="宋体" w:cs="宋体"/>
                <w:color w:val="auto"/>
                <w:sz w:val="24"/>
                <w:szCs w:val="24"/>
                <w:highlight w:val="none"/>
                <w:lang w:val="en-US" w:eastAsia="zh-CN"/>
              </w:rPr>
            </w:pPr>
          </w:p>
        </w:tc>
        <w:tc>
          <w:tcPr>
            <w:tcW w:w="2683" w:type="dxa"/>
            <w:shd w:val="clear" w:color="auto" w:fill="auto"/>
            <w:noWrap w:val="0"/>
            <w:vAlign w:val="center"/>
          </w:tcPr>
          <w:p w14:paraId="00FF921A">
            <w:pPr>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具有独立承担民事责任的能力</w:t>
            </w:r>
          </w:p>
        </w:tc>
        <w:tc>
          <w:tcPr>
            <w:tcW w:w="5817" w:type="dxa"/>
            <w:shd w:val="clear" w:color="auto" w:fill="auto"/>
            <w:noWrap w:val="0"/>
            <w:vAlign w:val="center"/>
          </w:tcPr>
          <w:p w14:paraId="72286F59">
            <w:pPr>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供应商须具有行政主管部门核发的有效法人营业执照，供应商不得以分公司名义进行磋商，响应文件的单位盖章必须使用其法人公章，分公司盖章无效；（须提供营业执照复印件加盖公章）</w:t>
            </w:r>
          </w:p>
        </w:tc>
      </w:tr>
      <w:tr w14:paraId="7B02BF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27" w:type="dxa"/>
            <w:vMerge w:val="continue"/>
            <w:noWrap w:val="0"/>
            <w:vAlign w:val="center"/>
          </w:tcPr>
          <w:p w14:paraId="0DAFA168">
            <w:pPr>
              <w:keepNext w:val="0"/>
              <w:keepLines w:val="0"/>
              <w:pageBreakBefore w:val="0"/>
              <w:widowControl w:val="0"/>
              <w:kinsoku/>
              <w:wordWrap/>
              <w:overflowPunct/>
              <w:topLinePunct w:val="0"/>
              <w:autoSpaceDE/>
              <w:autoSpaceDN/>
              <w:bidi w:val="0"/>
              <w:adjustRightInd/>
              <w:snapToGrid/>
              <w:spacing w:line="387" w:lineRule="exact"/>
              <w:ind w:firstLine="0" w:firstLineChars="0"/>
              <w:jc w:val="left"/>
              <w:textAlignment w:val="auto"/>
              <w:rPr>
                <w:rFonts w:hint="eastAsia" w:ascii="宋体" w:hAnsi="宋体" w:cs="宋体"/>
                <w:color w:val="auto"/>
                <w:sz w:val="24"/>
                <w:szCs w:val="24"/>
                <w:highlight w:val="none"/>
                <w:lang w:val="en-US" w:eastAsia="zh-CN"/>
              </w:rPr>
            </w:pPr>
          </w:p>
        </w:tc>
        <w:tc>
          <w:tcPr>
            <w:tcW w:w="529" w:type="dxa"/>
            <w:vMerge w:val="continue"/>
            <w:noWrap w:val="0"/>
            <w:vAlign w:val="center"/>
          </w:tcPr>
          <w:p w14:paraId="6609308C">
            <w:pPr>
              <w:keepNext w:val="0"/>
              <w:keepLines w:val="0"/>
              <w:pageBreakBefore w:val="0"/>
              <w:widowControl w:val="0"/>
              <w:kinsoku/>
              <w:wordWrap/>
              <w:overflowPunct/>
              <w:topLinePunct w:val="0"/>
              <w:autoSpaceDE/>
              <w:autoSpaceDN/>
              <w:bidi w:val="0"/>
              <w:adjustRightInd/>
              <w:snapToGrid/>
              <w:spacing w:line="387" w:lineRule="exact"/>
              <w:ind w:firstLine="0" w:firstLineChars="0"/>
              <w:jc w:val="left"/>
              <w:textAlignment w:val="auto"/>
              <w:rPr>
                <w:rFonts w:hint="eastAsia" w:ascii="宋体" w:hAnsi="宋体" w:cs="宋体"/>
                <w:color w:val="auto"/>
                <w:sz w:val="24"/>
                <w:szCs w:val="24"/>
                <w:highlight w:val="none"/>
                <w:lang w:val="en-US" w:eastAsia="zh-CN"/>
              </w:rPr>
            </w:pPr>
          </w:p>
        </w:tc>
        <w:tc>
          <w:tcPr>
            <w:tcW w:w="2683" w:type="dxa"/>
            <w:shd w:val="clear" w:color="auto" w:fill="auto"/>
            <w:noWrap w:val="0"/>
            <w:vAlign w:val="center"/>
          </w:tcPr>
          <w:p w14:paraId="3EE63ABB">
            <w:pPr>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具有良好的商业信誉和健全的财务会计制度</w:t>
            </w:r>
          </w:p>
        </w:tc>
        <w:tc>
          <w:tcPr>
            <w:tcW w:w="5817" w:type="dxa"/>
            <w:shd w:val="clear" w:color="auto" w:fill="auto"/>
            <w:noWrap w:val="0"/>
            <w:vAlign w:val="center"/>
          </w:tcPr>
          <w:p w14:paraId="51A7ED1D">
            <w:pPr>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 xml:space="preserve">按照竞争性磋商文件第六章竞争性磋商响应文件格式要求提交“供应商资格声明承诺函” </w:t>
            </w:r>
          </w:p>
        </w:tc>
      </w:tr>
      <w:tr w14:paraId="2840B9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7" w:type="dxa"/>
            <w:vMerge w:val="continue"/>
            <w:noWrap w:val="0"/>
            <w:vAlign w:val="center"/>
          </w:tcPr>
          <w:p w14:paraId="3031EDB5">
            <w:pPr>
              <w:keepNext w:val="0"/>
              <w:keepLines w:val="0"/>
              <w:pageBreakBefore w:val="0"/>
              <w:widowControl w:val="0"/>
              <w:kinsoku/>
              <w:wordWrap/>
              <w:overflowPunct/>
              <w:topLinePunct w:val="0"/>
              <w:autoSpaceDE/>
              <w:autoSpaceDN/>
              <w:bidi w:val="0"/>
              <w:adjustRightInd/>
              <w:snapToGrid/>
              <w:spacing w:line="387" w:lineRule="exact"/>
              <w:ind w:firstLine="0" w:firstLineChars="0"/>
              <w:jc w:val="left"/>
              <w:textAlignment w:val="auto"/>
              <w:rPr>
                <w:rFonts w:hint="eastAsia" w:ascii="宋体" w:hAnsi="宋体" w:cs="宋体"/>
                <w:color w:val="auto"/>
                <w:sz w:val="24"/>
                <w:szCs w:val="24"/>
                <w:highlight w:val="none"/>
                <w:lang w:val="en-US" w:eastAsia="zh-CN"/>
              </w:rPr>
            </w:pPr>
          </w:p>
        </w:tc>
        <w:tc>
          <w:tcPr>
            <w:tcW w:w="529" w:type="dxa"/>
            <w:vMerge w:val="continue"/>
            <w:noWrap w:val="0"/>
            <w:vAlign w:val="center"/>
          </w:tcPr>
          <w:p w14:paraId="1F83F583">
            <w:pPr>
              <w:keepNext w:val="0"/>
              <w:keepLines w:val="0"/>
              <w:pageBreakBefore w:val="0"/>
              <w:widowControl w:val="0"/>
              <w:kinsoku/>
              <w:wordWrap/>
              <w:overflowPunct/>
              <w:topLinePunct w:val="0"/>
              <w:autoSpaceDE/>
              <w:autoSpaceDN/>
              <w:bidi w:val="0"/>
              <w:adjustRightInd/>
              <w:snapToGrid/>
              <w:spacing w:line="387" w:lineRule="exact"/>
              <w:ind w:firstLine="0" w:firstLineChars="0"/>
              <w:jc w:val="left"/>
              <w:textAlignment w:val="auto"/>
              <w:rPr>
                <w:rFonts w:hint="eastAsia" w:ascii="宋体" w:hAnsi="宋体" w:cs="宋体"/>
                <w:color w:val="auto"/>
                <w:sz w:val="24"/>
                <w:szCs w:val="24"/>
                <w:highlight w:val="none"/>
                <w:lang w:val="en-US" w:eastAsia="zh-CN"/>
              </w:rPr>
            </w:pPr>
          </w:p>
        </w:tc>
        <w:tc>
          <w:tcPr>
            <w:tcW w:w="2683" w:type="dxa"/>
            <w:shd w:val="clear" w:color="auto" w:fill="auto"/>
            <w:noWrap w:val="0"/>
            <w:vAlign w:val="center"/>
          </w:tcPr>
          <w:p w14:paraId="1829FB8E">
            <w:pPr>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具有履行合同所必需的设备和专业技术能力</w:t>
            </w:r>
          </w:p>
        </w:tc>
        <w:tc>
          <w:tcPr>
            <w:tcW w:w="5817" w:type="dxa"/>
            <w:shd w:val="clear" w:color="auto" w:fill="auto"/>
            <w:noWrap w:val="0"/>
            <w:vAlign w:val="top"/>
          </w:tcPr>
          <w:p w14:paraId="704B6599">
            <w:pPr>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按照竞争性磋商文件第六章竞争性磋商响应文件格式要求提交“供应商资格声明承诺函”</w:t>
            </w:r>
          </w:p>
        </w:tc>
      </w:tr>
      <w:tr w14:paraId="45CCF9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7" w:type="dxa"/>
            <w:vMerge w:val="continue"/>
            <w:noWrap w:val="0"/>
            <w:vAlign w:val="center"/>
          </w:tcPr>
          <w:p w14:paraId="77F101D1">
            <w:pPr>
              <w:keepNext w:val="0"/>
              <w:keepLines w:val="0"/>
              <w:pageBreakBefore w:val="0"/>
              <w:widowControl w:val="0"/>
              <w:kinsoku/>
              <w:wordWrap/>
              <w:overflowPunct/>
              <w:topLinePunct w:val="0"/>
              <w:autoSpaceDE/>
              <w:autoSpaceDN/>
              <w:bidi w:val="0"/>
              <w:adjustRightInd/>
              <w:snapToGrid/>
              <w:spacing w:line="387" w:lineRule="exact"/>
              <w:ind w:firstLine="0" w:firstLineChars="0"/>
              <w:jc w:val="left"/>
              <w:textAlignment w:val="auto"/>
              <w:rPr>
                <w:rFonts w:hint="eastAsia" w:ascii="宋体" w:hAnsi="宋体" w:cs="宋体"/>
                <w:color w:val="auto"/>
                <w:sz w:val="24"/>
                <w:szCs w:val="24"/>
                <w:highlight w:val="none"/>
                <w:lang w:val="en-US" w:eastAsia="zh-CN"/>
              </w:rPr>
            </w:pPr>
          </w:p>
        </w:tc>
        <w:tc>
          <w:tcPr>
            <w:tcW w:w="529" w:type="dxa"/>
            <w:vMerge w:val="continue"/>
            <w:noWrap w:val="0"/>
            <w:vAlign w:val="center"/>
          </w:tcPr>
          <w:p w14:paraId="256C6612">
            <w:pPr>
              <w:keepNext w:val="0"/>
              <w:keepLines w:val="0"/>
              <w:pageBreakBefore w:val="0"/>
              <w:widowControl w:val="0"/>
              <w:kinsoku/>
              <w:wordWrap/>
              <w:overflowPunct/>
              <w:topLinePunct w:val="0"/>
              <w:autoSpaceDE/>
              <w:autoSpaceDN/>
              <w:bidi w:val="0"/>
              <w:adjustRightInd/>
              <w:snapToGrid/>
              <w:spacing w:line="387" w:lineRule="exact"/>
              <w:ind w:firstLine="0" w:firstLineChars="0"/>
              <w:jc w:val="left"/>
              <w:textAlignment w:val="auto"/>
              <w:rPr>
                <w:rFonts w:hint="eastAsia" w:ascii="宋体" w:hAnsi="宋体" w:cs="宋体"/>
                <w:color w:val="auto"/>
                <w:sz w:val="24"/>
                <w:szCs w:val="24"/>
                <w:highlight w:val="none"/>
                <w:lang w:val="en-US" w:eastAsia="zh-CN"/>
              </w:rPr>
            </w:pPr>
          </w:p>
        </w:tc>
        <w:tc>
          <w:tcPr>
            <w:tcW w:w="2683" w:type="dxa"/>
            <w:shd w:val="clear" w:color="auto" w:fill="auto"/>
            <w:noWrap w:val="0"/>
            <w:vAlign w:val="center"/>
          </w:tcPr>
          <w:p w14:paraId="4B2F0C2B">
            <w:pPr>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有依法缴纳税收和社会保障金的良好记录</w:t>
            </w:r>
          </w:p>
        </w:tc>
        <w:tc>
          <w:tcPr>
            <w:tcW w:w="5817" w:type="dxa"/>
            <w:shd w:val="clear" w:color="auto" w:fill="auto"/>
            <w:noWrap w:val="0"/>
            <w:vAlign w:val="top"/>
          </w:tcPr>
          <w:p w14:paraId="4FEA8D79">
            <w:pPr>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按照竞争性磋商文件第六章竞争性磋商响应文件格式要求提交“供应商资格声明承诺函”</w:t>
            </w:r>
          </w:p>
        </w:tc>
      </w:tr>
      <w:tr w14:paraId="6C5385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27" w:type="dxa"/>
            <w:vMerge w:val="continue"/>
            <w:noWrap w:val="0"/>
            <w:vAlign w:val="center"/>
          </w:tcPr>
          <w:p w14:paraId="09ED859C">
            <w:pPr>
              <w:keepNext w:val="0"/>
              <w:keepLines w:val="0"/>
              <w:pageBreakBefore w:val="0"/>
              <w:widowControl w:val="0"/>
              <w:kinsoku/>
              <w:wordWrap/>
              <w:overflowPunct/>
              <w:topLinePunct w:val="0"/>
              <w:autoSpaceDE/>
              <w:autoSpaceDN/>
              <w:bidi w:val="0"/>
              <w:adjustRightInd/>
              <w:snapToGrid/>
              <w:spacing w:line="387" w:lineRule="exact"/>
              <w:ind w:firstLine="0" w:firstLineChars="0"/>
              <w:jc w:val="left"/>
              <w:textAlignment w:val="auto"/>
              <w:rPr>
                <w:rFonts w:hint="eastAsia" w:ascii="宋体" w:hAnsi="宋体" w:cs="宋体"/>
                <w:color w:val="auto"/>
                <w:sz w:val="24"/>
                <w:szCs w:val="24"/>
                <w:highlight w:val="none"/>
                <w:lang w:val="en-US" w:eastAsia="zh-CN"/>
              </w:rPr>
            </w:pPr>
          </w:p>
        </w:tc>
        <w:tc>
          <w:tcPr>
            <w:tcW w:w="529" w:type="dxa"/>
            <w:vMerge w:val="continue"/>
            <w:noWrap w:val="0"/>
            <w:vAlign w:val="center"/>
          </w:tcPr>
          <w:p w14:paraId="52C6545E">
            <w:pPr>
              <w:keepNext w:val="0"/>
              <w:keepLines w:val="0"/>
              <w:pageBreakBefore w:val="0"/>
              <w:widowControl w:val="0"/>
              <w:kinsoku/>
              <w:wordWrap/>
              <w:overflowPunct/>
              <w:topLinePunct w:val="0"/>
              <w:autoSpaceDE/>
              <w:autoSpaceDN/>
              <w:bidi w:val="0"/>
              <w:adjustRightInd/>
              <w:snapToGrid/>
              <w:spacing w:line="387" w:lineRule="exact"/>
              <w:ind w:firstLine="0" w:firstLineChars="0"/>
              <w:jc w:val="left"/>
              <w:textAlignment w:val="auto"/>
              <w:rPr>
                <w:rFonts w:hint="eastAsia" w:ascii="宋体" w:hAnsi="宋体" w:cs="宋体"/>
                <w:color w:val="auto"/>
                <w:sz w:val="24"/>
                <w:szCs w:val="24"/>
                <w:highlight w:val="none"/>
                <w:lang w:val="en-US" w:eastAsia="zh-CN"/>
              </w:rPr>
            </w:pPr>
          </w:p>
        </w:tc>
        <w:tc>
          <w:tcPr>
            <w:tcW w:w="2683" w:type="dxa"/>
            <w:shd w:val="clear" w:color="auto" w:fill="auto"/>
            <w:noWrap w:val="0"/>
            <w:vAlign w:val="center"/>
          </w:tcPr>
          <w:p w14:paraId="38125BDF">
            <w:pPr>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主体信用记录</w:t>
            </w:r>
          </w:p>
        </w:tc>
        <w:tc>
          <w:tcPr>
            <w:tcW w:w="5817" w:type="dxa"/>
            <w:shd w:val="clear" w:color="auto" w:fill="auto"/>
            <w:noWrap w:val="0"/>
            <w:vAlign w:val="top"/>
          </w:tcPr>
          <w:p w14:paraId="1C09E71E">
            <w:pPr>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按照竞争性磋商文件第六章竞争性磋商响应文件格式要求提交“供应商资格声明承诺函”</w:t>
            </w:r>
          </w:p>
        </w:tc>
      </w:tr>
      <w:tr w14:paraId="7C9ABB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7" w:type="dxa"/>
            <w:vMerge w:val="continue"/>
            <w:noWrap w:val="0"/>
            <w:vAlign w:val="center"/>
          </w:tcPr>
          <w:p w14:paraId="0A58B86C">
            <w:pPr>
              <w:keepNext w:val="0"/>
              <w:keepLines w:val="0"/>
              <w:pageBreakBefore w:val="0"/>
              <w:widowControl w:val="0"/>
              <w:kinsoku/>
              <w:wordWrap/>
              <w:overflowPunct/>
              <w:topLinePunct w:val="0"/>
              <w:autoSpaceDE/>
              <w:autoSpaceDN/>
              <w:bidi w:val="0"/>
              <w:adjustRightInd/>
              <w:snapToGrid/>
              <w:spacing w:line="387" w:lineRule="exact"/>
              <w:ind w:firstLine="0" w:firstLineChars="0"/>
              <w:jc w:val="left"/>
              <w:textAlignment w:val="auto"/>
              <w:rPr>
                <w:rFonts w:hint="eastAsia" w:ascii="宋体" w:hAnsi="宋体" w:cs="宋体"/>
                <w:color w:val="auto"/>
                <w:sz w:val="24"/>
                <w:szCs w:val="24"/>
                <w:highlight w:val="none"/>
                <w:lang w:val="en-US" w:eastAsia="zh-CN"/>
              </w:rPr>
            </w:pPr>
          </w:p>
        </w:tc>
        <w:tc>
          <w:tcPr>
            <w:tcW w:w="529" w:type="dxa"/>
            <w:vMerge w:val="continue"/>
            <w:noWrap w:val="0"/>
            <w:vAlign w:val="center"/>
          </w:tcPr>
          <w:p w14:paraId="0C075A0B">
            <w:pPr>
              <w:keepNext w:val="0"/>
              <w:keepLines w:val="0"/>
              <w:pageBreakBefore w:val="0"/>
              <w:widowControl w:val="0"/>
              <w:kinsoku/>
              <w:wordWrap/>
              <w:overflowPunct/>
              <w:topLinePunct w:val="0"/>
              <w:autoSpaceDE/>
              <w:autoSpaceDN/>
              <w:bidi w:val="0"/>
              <w:adjustRightInd/>
              <w:snapToGrid/>
              <w:spacing w:line="387" w:lineRule="exact"/>
              <w:ind w:firstLine="0" w:firstLineChars="0"/>
              <w:jc w:val="left"/>
              <w:textAlignment w:val="auto"/>
              <w:rPr>
                <w:rFonts w:hint="eastAsia" w:ascii="宋体" w:hAnsi="宋体" w:cs="宋体"/>
                <w:color w:val="auto"/>
                <w:sz w:val="24"/>
                <w:szCs w:val="24"/>
                <w:highlight w:val="none"/>
                <w:lang w:val="en-US" w:eastAsia="zh-CN"/>
              </w:rPr>
            </w:pPr>
          </w:p>
        </w:tc>
        <w:tc>
          <w:tcPr>
            <w:tcW w:w="2683" w:type="dxa"/>
            <w:shd w:val="clear" w:color="auto" w:fill="auto"/>
            <w:noWrap w:val="0"/>
            <w:vAlign w:val="center"/>
          </w:tcPr>
          <w:p w14:paraId="42D83A3D">
            <w:pPr>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前期服务</w:t>
            </w:r>
          </w:p>
        </w:tc>
        <w:tc>
          <w:tcPr>
            <w:tcW w:w="5817" w:type="dxa"/>
            <w:shd w:val="clear" w:color="auto" w:fill="auto"/>
            <w:noWrap w:val="0"/>
            <w:vAlign w:val="top"/>
          </w:tcPr>
          <w:p w14:paraId="632365A3">
            <w:pPr>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按照竞争性磋商文件第六章竞争性磋商响应文件格式要求提交“供应商资格声明承诺函”</w:t>
            </w:r>
          </w:p>
        </w:tc>
      </w:tr>
      <w:tr w14:paraId="6FE85C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8" w:hRule="atLeast"/>
        </w:trPr>
        <w:tc>
          <w:tcPr>
            <w:tcW w:w="427" w:type="dxa"/>
            <w:vMerge w:val="continue"/>
            <w:noWrap w:val="0"/>
            <w:vAlign w:val="center"/>
          </w:tcPr>
          <w:p w14:paraId="522B5DFF">
            <w:pPr>
              <w:keepNext w:val="0"/>
              <w:keepLines w:val="0"/>
              <w:pageBreakBefore w:val="0"/>
              <w:widowControl w:val="0"/>
              <w:kinsoku/>
              <w:wordWrap/>
              <w:overflowPunct/>
              <w:topLinePunct w:val="0"/>
              <w:autoSpaceDE/>
              <w:autoSpaceDN/>
              <w:bidi w:val="0"/>
              <w:adjustRightInd/>
              <w:snapToGrid/>
              <w:spacing w:line="387" w:lineRule="exact"/>
              <w:ind w:firstLine="0" w:firstLineChars="0"/>
              <w:jc w:val="left"/>
              <w:textAlignment w:val="auto"/>
              <w:rPr>
                <w:rFonts w:hint="eastAsia" w:ascii="宋体" w:hAnsi="宋体" w:cs="宋体"/>
                <w:color w:val="auto"/>
                <w:sz w:val="24"/>
                <w:szCs w:val="24"/>
                <w:highlight w:val="none"/>
                <w:lang w:val="en-US" w:eastAsia="zh-CN"/>
              </w:rPr>
            </w:pPr>
          </w:p>
        </w:tc>
        <w:tc>
          <w:tcPr>
            <w:tcW w:w="529" w:type="dxa"/>
            <w:vMerge w:val="continue"/>
            <w:noWrap w:val="0"/>
            <w:vAlign w:val="center"/>
          </w:tcPr>
          <w:p w14:paraId="12AEA8D2">
            <w:pPr>
              <w:keepNext w:val="0"/>
              <w:keepLines w:val="0"/>
              <w:pageBreakBefore w:val="0"/>
              <w:widowControl w:val="0"/>
              <w:kinsoku/>
              <w:wordWrap/>
              <w:overflowPunct/>
              <w:topLinePunct w:val="0"/>
              <w:autoSpaceDE/>
              <w:autoSpaceDN/>
              <w:bidi w:val="0"/>
              <w:adjustRightInd/>
              <w:snapToGrid/>
              <w:spacing w:line="387" w:lineRule="exact"/>
              <w:ind w:firstLine="0" w:firstLineChars="0"/>
              <w:jc w:val="left"/>
              <w:textAlignment w:val="auto"/>
              <w:rPr>
                <w:rFonts w:hint="eastAsia" w:ascii="宋体" w:hAnsi="宋体" w:cs="宋体"/>
                <w:color w:val="auto"/>
                <w:sz w:val="24"/>
                <w:szCs w:val="24"/>
                <w:highlight w:val="none"/>
                <w:lang w:val="en-US" w:eastAsia="zh-CN"/>
              </w:rPr>
            </w:pPr>
          </w:p>
        </w:tc>
        <w:tc>
          <w:tcPr>
            <w:tcW w:w="2683" w:type="dxa"/>
            <w:shd w:val="clear" w:color="auto" w:fill="auto"/>
            <w:noWrap w:val="0"/>
            <w:vAlign w:val="center"/>
          </w:tcPr>
          <w:p w14:paraId="761F1AE3">
            <w:pPr>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落实政府采购政策需满足的资格要求</w:t>
            </w:r>
          </w:p>
        </w:tc>
        <w:tc>
          <w:tcPr>
            <w:tcW w:w="5817" w:type="dxa"/>
            <w:shd w:val="clear" w:color="auto" w:fill="auto"/>
            <w:noWrap w:val="0"/>
            <w:vAlign w:val="center"/>
          </w:tcPr>
          <w:p w14:paraId="08D4E1D7">
            <w:pPr>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 xml:space="preserve">本项目落实《政府采购促进中小企业发展管理办法》（财库〔2020〕46号）文件精神，为专门面向中小微企业采购项目，依据国务院批准的中小企业划分标准，供应商应为中型企业、小型企业或微型企业，供应商须提供中小微企业声明函原件并加盖公章。 </w:t>
            </w:r>
          </w:p>
        </w:tc>
      </w:tr>
      <w:tr w14:paraId="737ACA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7" w:type="dxa"/>
            <w:vMerge w:val="continue"/>
            <w:noWrap w:val="0"/>
            <w:vAlign w:val="center"/>
          </w:tcPr>
          <w:p w14:paraId="54E17E90">
            <w:pPr>
              <w:keepNext w:val="0"/>
              <w:keepLines w:val="0"/>
              <w:pageBreakBefore w:val="0"/>
              <w:widowControl w:val="0"/>
              <w:kinsoku/>
              <w:wordWrap/>
              <w:overflowPunct/>
              <w:topLinePunct w:val="0"/>
              <w:autoSpaceDE/>
              <w:autoSpaceDN/>
              <w:bidi w:val="0"/>
              <w:adjustRightInd/>
              <w:snapToGrid/>
              <w:spacing w:line="387" w:lineRule="exact"/>
              <w:ind w:firstLine="0" w:firstLineChars="0"/>
              <w:jc w:val="left"/>
              <w:textAlignment w:val="auto"/>
              <w:rPr>
                <w:rFonts w:hint="eastAsia" w:ascii="宋体" w:hAnsi="宋体" w:eastAsia="宋体" w:cs="宋体"/>
                <w:color w:val="auto"/>
                <w:sz w:val="24"/>
                <w:szCs w:val="24"/>
                <w:highlight w:val="none"/>
                <w:lang w:val="en-US" w:eastAsia="zh-CN"/>
              </w:rPr>
            </w:pPr>
          </w:p>
        </w:tc>
        <w:tc>
          <w:tcPr>
            <w:tcW w:w="529" w:type="dxa"/>
            <w:vMerge w:val="continue"/>
            <w:noWrap w:val="0"/>
            <w:vAlign w:val="center"/>
          </w:tcPr>
          <w:p w14:paraId="1CD06FFF">
            <w:pPr>
              <w:keepNext w:val="0"/>
              <w:keepLines w:val="0"/>
              <w:pageBreakBefore w:val="0"/>
              <w:widowControl w:val="0"/>
              <w:kinsoku/>
              <w:wordWrap/>
              <w:overflowPunct/>
              <w:topLinePunct w:val="0"/>
              <w:autoSpaceDE/>
              <w:autoSpaceDN/>
              <w:bidi w:val="0"/>
              <w:adjustRightInd/>
              <w:snapToGrid/>
              <w:spacing w:line="387" w:lineRule="exact"/>
              <w:ind w:firstLine="0" w:firstLineChars="0"/>
              <w:jc w:val="left"/>
              <w:textAlignment w:val="auto"/>
              <w:rPr>
                <w:rFonts w:hint="eastAsia" w:ascii="宋体" w:hAnsi="宋体" w:eastAsia="宋体" w:cs="宋体"/>
                <w:color w:val="auto"/>
                <w:sz w:val="24"/>
                <w:szCs w:val="24"/>
                <w:highlight w:val="none"/>
                <w:lang w:val="en-US" w:eastAsia="zh-CN"/>
              </w:rPr>
            </w:pPr>
          </w:p>
        </w:tc>
        <w:tc>
          <w:tcPr>
            <w:tcW w:w="2683" w:type="dxa"/>
            <w:noWrap w:val="0"/>
            <w:vAlign w:val="center"/>
          </w:tcPr>
          <w:p w14:paraId="521ECAF5">
            <w:pPr>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许可证</w:t>
            </w:r>
          </w:p>
        </w:tc>
        <w:tc>
          <w:tcPr>
            <w:tcW w:w="5817" w:type="dxa"/>
            <w:noWrap w:val="0"/>
            <w:vAlign w:val="center"/>
          </w:tcPr>
          <w:p w14:paraId="7E3EECC8">
            <w:pPr>
              <w:jc w:val="lef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具备主管部门颁发的有效的《城市生活垃圾经营性清扫、收集、运输服务许可证》或《城市生活垃圾经营性处置服务许可证》。（提供证书复印件加盖供应商公章）</w:t>
            </w:r>
          </w:p>
        </w:tc>
      </w:tr>
      <w:tr w14:paraId="6A5331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7" w:type="dxa"/>
            <w:vMerge w:val="continue"/>
            <w:noWrap w:val="0"/>
            <w:vAlign w:val="center"/>
          </w:tcPr>
          <w:p w14:paraId="278E1CAE">
            <w:pPr>
              <w:keepNext w:val="0"/>
              <w:keepLines w:val="0"/>
              <w:pageBreakBefore w:val="0"/>
              <w:widowControl w:val="0"/>
              <w:kinsoku/>
              <w:wordWrap/>
              <w:overflowPunct/>
              <w:topLinePunct w:val="0"/>
              <w:autoSpaceDE/>
              <w:autoSpaceDN/>
              <w:bidi w:val="0"/>
              <w:adjustRightInd/>
              <w:snapToGrid/>
              <w:spacing w:line="387" w:lineRule="exact"/>
              <w:ind w:firstLine="0" w:firstLineChars="0"/>
              <w:jc w:val="left"/>
              <w:textAlignment w:val="auto"/>
              <w:rPr>
                <w:rFonts w:hint="eastAsia" w:ascii="宋体" w:hAnsi="宋体" w:eastAsia="宋体" w:cs="宋体"/>
                <w:color w:val="auto"/>
                <w:sz w:val="24"/>
                <w:szCs w:val="24"/>
                <w:highlight w:val="none"/>
                <w:lang w:val="en-US" w:eastAsia="zh-CN"/>
              </w:rPr>
            </w:pPr>
          </w:p>
        </w:tc>
        <w:tc>
          <w:tcPr>
            <w:tcW w:w="529" w:type="dxa"/>
            <w:vMerge w:val="continue"/>
            <w:noWrap w:val="0"/>
            <w:vAlign w:val="center"/>
          </w:tcPr>
          <w:p w14:paraId="7F0B5191">
            <w:pPr>
              <w:keepNext w:val="0"/>
              <w:keepLines w:val="0"/>
              <w:pageBreakBefore w:val="0"/>
              <w:widowControl w:val="0"/>
              <w:kinsoku/>
              <w:wordWrap/>
              <w:overflowPunct/>
              <w:topLinePunct w:val="0"/>
              <w:autoSpaceDE/>
              <w:autoSpaceDN/>
              <w:bidi w:val="0"/>
              <w:adjustRightInd/>
              <w:snapToGrid/>
              <w:spacing w:line="387" w:lineRule="exact"/>
              <w:ind w:firstLine="0" w:firstLineChars="0"/>
              <w:jc w:val="left"/>
              <w:textAlignment w:val="auto"/>
              <w:rPr>
                <w:rFonts w:hint="eastAsia" w:ascii="宋体" w:hAnsi="宋体" w:eastAsia="宋体" w:cs="宋体"/>
                <w:color w:val="auto"/>
                <w:sz w:val="24"/>
                <w:szCs w:val="24"/>
                <w:highlight w:val="none"/>
                <w:lang w:val="en-US" w:eastAsia="zh-CN"/>
              </w:rPr>
            </w:pPr>
          </w:p>
        </w:tc>
        <w:tc>
          <w:tcPr>
            <w:tcW w:w="2683" w:type="dxa"/>
            <w:noWrap w:val="0"/>
            <w:vAlign w:val="center"/>
          </w:tcPr>
          <w:p w14:paraId="6F6766C0">
            <w:pPr>
              <w:jc w:val="lef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联合体</w:t>
            </w:r>
          </w:p>
        </w:tc>
        <w:tc>
          <w:tcPr>
            <w:tcW w:w="5817" w:type="dxa"/>
            <w:noWrap w:val="0"/>
            <w:vAlign w:val="center"/>
          </w:tcPr>
          <w:p w14:paraId="625DB8A4">
            <w:pPr>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eastAsia="zh-CN"/>
              </w:rPr>
              <w:t>本项目不接受联合体。</w:t>
            </w:r>
          </w:p>
        </w:tc>
      </w:tr>
      <w:tr w14:paraId="5C1EE6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7" w:type="dxa"/>
            <w:vMerge w:val="restart"/>
            <w:noWrap w:val="0"/>
            <w:vAlign w:val="center"/>
          </w:tcPr>
          <w:p w14:paraId="4E056367">
            <w:pPr>
              <w:keepNext w:val="0"/>
              <w:keepLines w:val="0"/>
              <w:pageBreakBefore w:val="0"/>
              <w:widowControl w:val="0"/>
              <w:kinsoku/>
              <w:wordWrap/>
              <w:overflowPunct/>
              <w:topLinePunct w:val="0"/>
              <w:autoSpaceDE/>
              <w:autoSpaceDN/>
              <w:bidi w:val="0"/>
              <w:adjustRightInd/>
              <w:snapToGrid/>
              <w:spacing w:line="387" w:lineRule="exact"/>
              <w:ind w:firstLine="0" w:firstLineChars="0"/>
              <w:jc w:val="center"/>
              <w:textAlignment w:val="auto"/>
              <w:rPr>
                <w:rFonts w:hint="default"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2</w:t>
            </w:r>
          </w:p>
        </w:tc>
        <w:tc>
          <w:tcPr>
            <w:tcW w:w="529" w:type="dxa"/>
            <w:vMerge w:val="restart"/>
            <w:noWrap w:val="0"/>
            <w:vAlign w:val="center"/>
          </w:tcPr>
          <w:p w14:paraId="7DE7B0E7">
            <w:pPr>
              <w:keepNext w:val="0"/>
              <w:keepLines w:val="0"/>
              <w:pageBreakBefore w:val="0"/>
              <w:widowControl w:val="0"/>
              <w:kinsoku/>
              <w:wordWrap/>
              <w:overflowPunct/>
              <w:topLinePunct w:val="0"/>
              <w:autoSpaceDE/>
              <w:autoSpaceDN/>
              <w:bidi w:val="0"/>
              <w:adjustRightInd/>
              <w:snapToGrid/>
              <w:spacing w:line="387" w:lineRule="exact"/>
              <w:ind w:firstLine="0" w:firstLineChars="0"/>
              <w:jc w:val="left"/>
              <w:textAlignment w:val="auto"/>
              <w:rPr>
                <w:rFonts w:hint="eastAsia" w:ascii="宋体" w:hAnsi="宋体" w:cs="宋体"/>
                <w:color w:val="auto"/>
                <w:sz w:val="24"/>
                <w:szCs w:val="24"/>
                <w:highlight w:val="none"/>
                <w:lang w:eastAsia="zh-CN"/>
              </w:rPr>
            </w:pPr>
          </w:p>
          <w:p w14:paraId="720C2E5D">
            <w:pPr>
              <w:keepNext w:val="0"/>
              <w:keepLines w:val="0"/>
              <w:pageBreakBefore w:val="0"/>
              <w:widowControl w:val="0"/>
              <w:kinsoku/>
              <w:wordWrap/>
              <w:overflowPunct/>
              <w:topLinePunct w:val="0"/>
              <w:autoSpaceDE/>
              <w:autoSpaceDN/>
              <w:bidi w:val="0"/>
              <w:adjustRightInd/>
              <w:snapToGrid/>
              <w:spacing w:line="387" w:lineRule="exact"/>
              <w:ind w:firstLine="0" w:firstLineChars="0"/>
              <w:jc w:val="center"/>
              <w:textAlignment w:val="auto"/>
              <w:rPr>
                <w:rFonts w:hint="eastAsia" w:ascii="宋体" w:hAnsi="宋体" w:cs="宋体"/>
                <w:color w:val="auto"/>
                <w:sz w:val="24"/>
                <w:szCs w:val="24"/>
                <w:highlight w:val="none"/>
                <w:lang w:eastAsia="zh-CN"/>
              </w:rPr>
            </w:pPr>
            <w:r>
              <w:rPr>
                <w:rFonts w:hint="eastAsia" w:ascii="宋体" w:hAnsi="宋体" w:cs="宋体"/>
                <w:color w:val="auto"/>
                <w:sz w:val="24"/>
                <w:szCs w:val="24"/>
                <w:highlight w:val="none"/>
                <w:lang w:eastAsia="zh-CN"/>
              </w:rPr>
              <w:t>符合性审查</w:t>
            </w:r>
          </w:p>
        </w:tc>
        <w:tc>
          <w:tcPr>
            <w:tcW w:w="2683" w:type="dxa"/>
            <w:noWrap w:val="0"/>
            <w:vAlign w:val="center"/>
          </w:tcPr>
          <w:p w14:paraId="758F7A8A">
            <w:pPr>
              <w:jc w:val="lef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供应商名称</w:t>
            </w:r>
          </w:p>
        </w:tc>
        <w:tc>
          <w:tcPr>
            <w:tcW w:w="5817" w:type="dxa"/>
            <w:noWrap w:val="0"/>
            <w:vAlign w:val="center"/>
          </w:tcPr>
          <w:p w14:paraId="06FE4290">
            <w:pPr>
              <w:jc w:val="lef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与营业执照等其他证件一致</w:t>
            </w:r>
            <w:r>
              <w:rPr>
                <w:rFonts w:hint="eastAsia" w:ascii="宋体" w:hAnsi="宋体" w:eastAsia="宋体" w:cs="宋体"/>
                <w:color w:val="auto"/>
                <w:sz w:val="24"/>
                <w:szCs w:val="24"/>
                <w:highlight w:val="none"/>
                <w:lang w:eastAsia="zh-CN"/>
              </w:rPr>
              <w:t>；</w:t>
            </w:r>
          </w:p>
        </w:tc>
      </w:tr>
      <w:tr w14:paraId="0C4565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7" w:type="dxa"/>
            <w:vMerge w:val="continue"/>
            <w:noWrap w:val="0"/>
            <w:vAlign w:val="center"/>
          </w:tcPr>
          <w:p w14:paraId="0C5625F8">
            <w:pPr>
              <w:keepNext w:val="0"/>
              <w:keepLines w:val="0"/>
              <w:pageBreakBefore w:val="0"/>
              <w:widowControl w:val="0"/>
              <w:kinsoku/>
              <w:wordWrap/>
              <w:overflowPunct/>
              <w:topLinePunct w:val="0"/>
              <w:autoSpaceDE/>
              <w:autoSpaceDN/>
              <w:bidi w:val="0"/>
              <w:adjustRightInd/>
              <w:snapToGrid/>
              <w:spacing w:line="387" w:lineRule="exact"/>
              <w:ind w:firstLine="0" w:firstLineChars="0"/>
              <w:jc w:val="left"/>
              <w:textAlignment w:val="auto"/>
              <w:rPr>
                <w:rFonts w:hint="eastAsia" w:ascii="宋体" w:hAnsi="宋体" w:cs="宋体"/>
                <w:color w:val="auto"/>
                <w:sz w:val="24"/>
                <w:szCs w:val="24"/>
                <w:highlight w:val="none"/>
                <w:lang w:eastAsia="zh-CN"/>
              </w:rPr>
            </w:pPr>
          </w:p>
        </w:tc>
        <w:tc>
          <w:tcPr>
            <w:tcW w:w="529" w:type="dxa"/>
            <w:vMerge w:val="continue"/>
            <w:noWrap w:val="0"/>
            <w:vAlign w:val="center"/>
          </w:tcPr>
          <w:p w14:paraId="71E29232">
            <w:pPr>
              <w:keepNext w:val="0"/>
              <w:keepLines w:val="0"/>
              <w:pageBreakBefore w:val="0"/>
              <w:widowControl w:val="0"/>
              <w:kinsoku/>
              <w:wordWrap/>
              <w:overflowPunct/>
              <w:topLinePunct w:val="0"/>
              <w:autoSpaceDE/>
              <w:autoSpaceDN/>
              <w:bidi w:val="0"/>
              <w:adjustRightInd/>
              <w:snapToGrid/>
              <w:spacing w:line="387" w:lineRule="exact"/>
              <w:ind w:firstLine="0" w:firstLineChars="0"/>
              <w:jc w:val="left"/>
              <w:textAlignment w:val="auto"/>
              <w:rPr>
                <w:rFonts w:hint="eastAsia" w:ascii="宋体" w:hAnsi="宋体" w:cs="宋体"/>
                <w:color w:val="auto"/>
                <w:sz w:val="24"/>
                <w:szCs w:val="24"/>
                <w:highlight w:val="none"/>
                <w:lang w:eastAsia="zh-CN"/>
              </w:rPr>
            </w:pPr>
          </w:p>
        </w:tc>
        <w:tc>
          <w:tcPr>
            <w:tcW w:w="2683" w:type="dxa"/>
            <w:noWrap w:val="0"/>
            <w:vAlign w:val="center"/>
          </w:tcPr>
          <w:p w14:paraId="5F9C2254">
            <w:pPr>
              <w:jc w:val="left"/>
              <w:rPr>
                <w:rFonts w:hint="eastAsia" w:ascii="宋体" w:hAnsi="宋体" w:cs="宋体"/>
                <w:color w:val="auto"/>
                <w:sz w:val="24"/>
                <w:szCs w:val="24"/>
                <w:highlight w:val="none"/>
                <w:lang w:eastAsia="zh-CN"/>
              </w:rPr>
            </w:pPr>
            <w:r>
              <w:rPr>
                <w:rFonts w:hint="eastAsia" w:ascii="宋体" w:hAnsi="宋体" w:eastAsia="宋体" w:cs="宋体"/>
                <w:color w:val="auto"/>
                <w:sz w:val="24"/>
                <w:szCs w:val="24"/>
                <w:highlight w:val="none"/>
              </w:rPr>
              <w:t>磋商响应性文件签署</w:t>
            </w:r>
          </w:p>
        </w:tc>
        <w:tc>
          <w:tcPr>
            <w:tcW w:w="5817" w:type="dxa"/>
            <w:noWrap w:val="0"/>
            <w:vAlign w:val="center"/>
          </w:tcPr>
          <w:p w14:paraId="37148BEE">
            <w:pPr>
              <w:jc w:val="left"/>
              <w:rPr>
                <w:rFonts w:hint="eastAsia" w:ascii="宋体" w:hAnsi="宋体" w:cs="宋体"/>
                <w:color w:val="auto"/>
                <w:sz w:val="24"/>
                <w:szCs w:val="24"/>
                <w:highlight w:val="none"/>
                <w:lang w:eastAsia="zh-CN"/>
              </w:rPr>
            </w:pPr>
            <w:r>
              <w:rPr>
                <w:rFonts w:hint="eastAsia" w:ascii="宋体" w:hAnsi="宋体" w:eastAsia="宋体" w:cs="宋体"/>
                <w:color w:val="auto"/>
                <w:sz w:val="24"/>
                <w:szCs w:val="24"/>
                <w:highlight w:val="none"/>
              </w:rPr>
              <w:t>按</w:t>
            </w:r>
            <w:r>
              <w:rPr>
                <w:rFonts w:hint="eastAsia" w:ascii="宋体" w:hAnsi="宋体" w:eastAsia="宋体" w:cs="宋体"/>
                <w:color w:val="auto"/>
                <w:sz w:val="24"/>
                <w:szCs w:val="24"/>
                <w:highlight w:val="none"/>
                <w:lang w:eastAsia="zh-CN"/>
              </w:rPr>
              <w:t>磋商</w:t>
            </w:r>
            <w:r>
              <w:rPr>
                <w:rFonts w:hint="eastAsia" w:ascii="宋体" w:hAnsi="宋体" w:eastAsia="宋体" w:cs="宋体"/>
                <w:color w:val="auto"/>
                <w:sz w:val="24"/>
                <w:szCs w:val="24"/>
                <w:highlight w:val="none"/>
              </w:rPr>
              <w:t>文件要求在规定区域加盖单位章，法定代表人或授权代表</w:t>
            </w:r>
            <w:r>
              <w:rPr>
                <w:rFonts w:hint="eastAsia" w:ascii="宋体" w:hAnsi="宋体" w:cs="宋体"/>
                <w:color w:val="auto"/>
                <w:sz w:val="24"/>
                <w:szCs w:val="24"/>
                <w:highlight w:val="none"/>
                <w:lang w:eastAsia="zh-CN"/>
              </w:rPr>
              <w:t>签字（盖章）</w:t>
            </w:r>
            <w:r>
              <w:rPr>
                <w:rFonts w:hint="eastAsia" w:ascii="宋体" w:hAnsi="宋体" w:eastAsia="宋体" w:cs="宋体"/>
                <w:color w:val="auto"/>
                <w:sz w:val="24"/>
                <w:szCs w:val="24"/>
                <w:highlight w:val="none"/>
                <w:lang w:eastAsia="zh-CN"/>
              </w:rPr>
              <w:t>；</w:t>
            </w:r>
          </w:p>
        </w:tc>
      </w:tr>
      <w:tr w14:paraId="1AC2CA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7" w:type="dxa"/>
            <w:vMerge w:val="continue"/>
            <w:noWrap w:val="0"/>
            <w:vAlign w:val="center"/>
          </w:tcPr>
          <w:p w14:paraId="464DD4EA">
            <w:pPr>
              <w:keepNext w:val="0"/>
              <w:keepLines w:val="0"/>
              <w:pageBreakBefore w:val="0"/>
              <w:widowControl w:val="0"/>
              <w:kinsoku/>
              <w:wordWrap/>
              <w:overflowPunct/>
              <w:topLinePunct w:val="0"/>
              <w:autoSpaceDE/>
              <w:autoSpaceDN/>
              <w:bidi w:val="0"/>
              <w:adjustRightInd/>
              <w:snapToGrid/>
              <w:spacing w:line="387" w:lineRule="exact"/>
              <w:ind w:firstLine="0" w:firstLineChars="0"/>
              <w:jc w:val="left"/>
              <w:textAlignment w:val="auto"/>
              <w:rPr>
                <w:rFonts w:hint="eastAsia" w:ascii="宋体" w:hAnsi="宋体" w:cs="宋体"/>
                <w:color w:val="auto"/>
                <w:sz w:val="24"/>
                <w:szCs w:val="24"/>
                <w:highlight w:val="none"/>
                <w:lang w:eastAsia="zh-CN"/>
              </w:rPr>
            </w:pPr>
          </w:p>
        </w:tc>
        <w:tc>
          <w:tcPr>
            <w:tcW w:w="529" w:type="dxa"/>
            <w:vMerge w:val="continue"/>
            <w:noWrap w:val="0"/>
            <w:vAlign w:val="center"/>
          </w:tcPr>
          <w:p w14:paraId="1C84C68D">
            <w:pPr>
              <w:keepNext w:val="0"/>
              <w:keepLines w:val="0"/>
              <w:pageBreakBefore w:val="0"/>
              <w:widowControl w:val="0"/>
              <w:kinsoku/>
              <w:wordWrap/>
              <w:overflowPunct/>
              <w:topLinePunct w:val="0"/>
              <w:autoSpaceDE/>
              <w:autoSpaceDN/>
              <w:bidi w:val="0"/>
              <w:adjustRightInd/>
              <w:snapToGrid/>
              <w:spacing w:line="387" w:lineRule="exact"/>
              <w:ind w:firstLine="0" w:firstLineChars="0"/>
              <w:jc w:val="left"/>
              <w:textAlignment w:val="auto"/>
              <w:rPr>
                <w:rFonts w:hint="eastAsia" w:ascii="宋体" w:hAnsi="宋体" w:cs="宋体"/>
                <w:color w:val="auto"/>
                <w:sz w:val="24"/>
                <w:szCs w:val="24"/>
                <w:highlight w:val="none"/>
                <w:lang w:eastAsia="zh-CN"/>
              </w:rPr>
            </w:pPr>
          </w:p>
        </w:tc>
        <w:tc>
          <w:tcPr>
            <w:tcW w:w="2683" w:type="dxa"/>
            <w:noWrap w:val="0"/>
            <w:vAlign w:val="center"/>
          </w:tcPr>
          <w:p w14:paraId="305FDAA3">
            <w:pPr>
              <w:jc w:val="left"/>
              <w:rPr>
                <w:rFonts w:hint="eastAsia" w:ascii="宋体" w:hAnsi="宋体" w:cs="宋体"/>
                <w:color w:val="auto"/>
                <w:sz w:val="24"/>
                <w:szCs w:val="24"/>
                <w:highlight w:val="none"/>
                <w:lang w:eastAsia="zh-CN"/>
              </w:rPr>
            </w:pPr>
            <w:r>
              <w:rPr>
                <w:rFonts w:hint="eastAsia" w:ascii="宋体" w:hAnsi="宋体" w:eastAsia="宋体" w:cs="宋体"/>
                <w:color w:val="auto"/>
                <w:sz w:val="24"/>
                <w:szCs w:val="24"/>
                <w:highlight w:val="none"/>
              </w:rPr>
              <w:t>法定代表人和授权代表资格</w:t>
            </w:r>
          </w:p>
        </w:tc>
        <w:tc>
          <w:tcPr>
            <w:tcW w:w="5817" w:type="dxa"/>
            <w:noWrap w:val="0"/>
            <w:vAlign w:val="center"/>
          </w:tcPr>
          <w:p w14:paraId="4A6D8195">
            <w:pPr>
              <w:jc w:val="left"/>
              <w:rPr>
                <w:rFonts w:hint="eastAsia" w:ascii="宋体" w:hAnsi="宋体" w:cs="宋体"/>
                <w:color w:val="auto"/>
                <w:sz w:val="24"/>
                <w:szCs w:val="24"/>
                <w:highlight w:val="none"/>
                <w:lang w:eastAsia="zh-CN"/>
              </w:rPr>
            </w:pPr>
            <w:r>
              <w:rPr>
                <w:rFonts w:hint="eastAsia" w:ascii="宋体" w:hAnsi="宋体" w:eastAsia="宋体" w:cs="宋体"/>
                <w:color w:val="auto"/>
                <w:sz w:val="24"/>
                <w:szCs w:val="24"/>
                <w:highlight w:val="none"/>
              </w:rPr>
              <w:t>具有法定代表人资格证明和法定代表人授权委托书</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 xml:space="preserve"> </w:t>
            </w:r>
          </w:p>
        </w:tc>
      </w:tr>
      <w:tr w14:paraId="4173B3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7" w:type="dxa"/>
            <w:vMerge w:val="continue"/>
            <w:noWrap w:val="0"/>
            <w:vAlign w:val="center"/>
          </w:tcPr>
          <w:p w14:paraId="570E17AB">
            <w:pPr>
              <w:keepNext w:val="0"/>
              <w:keepLines w:val="0"/>
              <w:pageBreakBefore w:val="0"/>
              <w:widowControl w:val="0"/>
              <w:kinsoku/>
              <w:wordWrap/>
              <w:overflowPunct/>
              <w:topLinePunct w:val="0"/>
              <w:autoSpaceDE/>
              <w:autoSpaceDN/>
              <w:bidi w:val="0"/>
              <w:adjustRightInd/>
              <w:snapToGrid/>
              <w:spacing w:line="387" w:lineRule="exact"/>
              <w:ind w:firstLine="0" w:firstLineChars="0"/>
              <w:jc w:val="left"/>
              <w:textAlignment w:val="auto"/>
              <w:rPr>
                <w:rFonts w:hint="eastAsia" w:ascii="宋体" w:hAnsi="宋体" w:cs="宋体"/>
                <w:color w:val="auto"/>
                <w:sz w:val="24"/>
                <w:szCs w:val="24"/>
                <w:highlight w:val="none"/>
                <w:lang w:eastAsia="zh-CN"/>
              </w:rPr>
            </w:pPr>
          </w:p>
        </w:tc>
        <w:tc>
          <w:tcPr>
            <w:tcW w:w="529" w:type="dxa"/>
            <w:vMerge w:val="continue"/>
            <w:noWrap w:val="0"/>
            <w:vAlign w:val="center"/>
          </w:tcPr>
          <w:p w14:paraId="7F20B18E">
            <w:pPr>
              <w:keepNext w:val="0"/>
              <w:keepLines w:val="0"/>
              <w:pageBreakBefore w:val="0"/>
              <w:widowControl w:val="0"/>
              <w:kinsoku/>
              <w:wordWrap/>
              <w:overflowPunct/>
              <w:topLinePunct w:val="0"/>
              <w:autoSpaceDE/>
              <w:autoSpaceDN/>
              <w:bidi w:val="0"/>
              <w:adjustRightInd/>
              <w:snapToGrid/>
              <w:spacing w:line="387" w:lineRule="exact"/>
              <w:ind w:firstLine="0" w:firstLineChars="0"/>
              <w:jc w:val="left"/>
              <w:textAlignment w:val="auto"/>
              <w:rPr>
                <w:rFonts w:hint="eastAsia" w:ascii="宋体" w:hAnsi="宋体" w:cs="宋体"/>
                <w:color w:val="auto"/>
                <w:sz w:val="24"/>
                <w:szCs w:val="24"/>
                <w:highlight w:val="none"/>
                <w:lang w:eastAsia="zh-CN"/>
              </w:rPr>
            </w:pPr>
          </w:p>
        </w:tc>
        <w:tc>
          <w:tcPr>
            <w:tcW w:w="2683" w:type="dxa"/>
            <w:noWrap w:val="0"/>
            <w:vAlign w:val="center"/>
          </w:tcPr>
          <w:p w14:paraId="54A0F1D2">
            <w:pPr>
              <w:jc w:val="left"/>
              <w:rPr>
                <w:rFonts w:hint="eastAsia" w:ascii="宋体" w:hAnsi="宋体" w:cs="宋体"/>
                <w:color w:val="auto"/>
                <w:sz w:val="24"/>
                <w:szCs w:val="24"/>
                <w:highlight w:val="none"/>
                <w:lang w:eastAsia="zh-CN"/>
              </w:rPr>
            </w:pPr>
            <w:r>
              <w:rPr>
                <w:rFonts w:hint="eastAsia" w:ascii="宋体" w:hAnsi="宋体" w:eastAsia="宋体" w:cs="宋体"/>
                <w:color w:val="auto"/>
                <w:sz w:val="24"/>
                <w:szCs w:val="24"/>
                <w:highlight w:val="none"/>
              </w:rPr>
              <w:t>磋商有效期</w:t>
            </w:r>
          </w:p>
        </w:tc>
        <w:tc>
          <w:tcPr>
            <w:tcW w:w="5817" w:type="dxa"/>
            <w:noWrap w:val="0"/>
            <w:vAlign w:val="center"/>
          </w:tcPr>
          <w:p w14:paraId="1B47EC2F">
            <w:pPr>
              <w:jc w:val="left"/>
              <w:rPr>
                <w:rFonts w:hint="eastAsia" w:ascii="宋体" w:hAnsi="宋体" w:cs="宋体"/>
                <w:color w:val="auto"/>
                <w:sz w:val="24"/>
                <w:szCs w:val="24"/>
                <w:highlight w:val="none"/>
                <w:lang w:eastAsia="zh-CN"/>
              </w:rPr>
            </w:pPr>
            <w:r>
              <w:rPr>
                <w:rFonts w:hint="eastAsia" w:ascii="宋体" w:hAnsi="宋体" w:eastAsia="宋体" w:cs="宋体"/>
                <w:color w:val="auto"/>
                <w:sz w:val="24"/>
                <w:szCs w:val="24"/>
                <w:highlight w:val="none"/>
              </w:rPr>
              <w:t>符合供应商须知前附表的规定</w:t>
            </w:r>
            <w:r>
              <w:rPr>
                <w:rFonts w:hint="eastAsia" w:ascii="宋体" w:hAnsi="宋体" w:eastAsia="宋体" w:cs="宋体"/>
                <w:color w:val="auto"/>
                <w:sz w:val="24"/>
                <w:szCs w:val="24"/>
                <w:highlight w:val="none"/>
                <w:lang w:eastAsia="zh-CN"/>
              </w:rPr>
              <w:t>；</w:t>
            </w:r>
          </w:p>
        </w:tc>
      </w:tr>
      <w:tr w14:paraId="208F46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7" w:type="dxa"/>
            <w:vMerge w:val="continue"/>
            <w:noWrap w:val="0"/>
            <w:vAlign w:val="center"/>
          </w:tcPr>
          <w:p w14:paraId="6B1801FD">
            <w:pPr>
              <w:keepNext w:val="0"/>
              <w:keepLines w:val="0"/>
              <w:pageBreakBefore w:val="0"/>
              <w:widowControl w:val="0"/>
              <w:kinsoku/>
              <w:wordWrap/>
              <w:overflowPunct/>
              <w:topLinePunct w:val="0"/>
              <w:autoSpaceDE/>
              <w:autoSpaceDN/>
              <w:bidi w:val="0"/>
              <w:adjustRightInd/>
              <w:snapToGrid/>
              <w:spacing w:line="387" w:lineRule="exact"/>
              <w:ind w:firstLine="0" w:firstLineChars="0"/>
              <w:jc w:val="left"/>
              <w:textAlignment w:val="auto"/>
              <w:rPr>
                <w:rFonts w:hint="eastAsia" w:ascii="宋体" w:hAnsi="宋体" w:cs="宋体"/>
                <w:color w:val="auto"/>
                <w:sz w:val="24"/>
                <w:szCs w:val="24"/>
                <w:highlight w:val="none"/>
                <w:lang w:eastAsia="zh-CN"/>
              </w:rPr>
            </w:pPr>
          </w:p>
        </w:tc>
        <w:tc>
          <w:tcPr>
            <w:tcW w:w="529" w:type="dxa"/>
            <w:vMerge w:val="continue"/>
            <w:noWrap w:val="0"/>
            <w:vAlign w:val="center"/>
          </w:tcPr>
          <w:p w14:paraId="6497C581">
            <w:pPr>
              <w:keepNext w:val="0"/>
              <w:keepLines w:val="0"/>
              <w:pageBreakBefore w:val="0"/>
              <w:widowControl w:val="0"/>
              <w:kinsoku/>
              <w:wordWrap/>
              <w:overflowPunct/>
              <w:topLinePunct w:val="0"/>
              <w:autoSpaceDE/>
              <w:autoSpaceDN/>
              <w:bidi w:val="0"/>
              <w:adjustRightInd/>
              <w:snapToGrid/>
              <w:spacing w:line="387" w:lineRule="exact"/>
              <w:ind w:firstLine="0" w:firstLineChars="0"/>
              <w:jc w:val="left"/>
              <w:textAlignment w:val="auto"/>
              <w:rPr>
                <w:rFonts w:hint="eastAsia" w:ascii="宋体" w:hAnsi="宋体" w:cs="宋体"/>
                <w:color w:val="auto"/>
                <w:sz w:val="24"/>
                <w:szCs w:val="24"/>
                <w:highlight w:val="none"/>
                <w:lang w:eastAsia="zh-CN"/>
              </w:rPr>
            </w:pPr>
          </w:p>
        </w:tc>
        <w:tc>
          <w:tcPr>
            <w:tcW w:w="2683" w:type="dxa"/>
            <w:noWrap w:val="0"/>
            <w:vAlign w:val="center"/>
          </w:tcPr>
          <w:p w14:paraId="26DD318E">
            <w:pPr>
              <w:jc w:val="left"/>
              <w:rPr>
                <w:rFonts w:hint="eastAsia" w:ascii="宋体" w:hAnsi="宋体" w:cs="宋体"/>
                <w:color w:val="auto"/>
                <w:sz w:val="24"/>
                <w:szCs w:val="24"/>
                <w:highlight w:val="none"/>
                <w:lang w:eastAsia="zh-CN"/>
              </w:rPr>
            </w:pPr>
            <w:r>
              <w:rPr>
                <w:rFonts w:hint="eastAsia" w:ascii="宋体" w:hAnsi="宋体" w:eastAsia="宋体" w:cs="宋体"/>
                <w:color w:val="auto"/>
                <w:sz w:val="24"/>
                <w:szCs w:val="24"/>
                <w:highlight w:val="none"/>
              </w:rPr>
              <w:t>磋商报价</w:t>
            </w:r>
          </w:p>
        </w:tc>
        <w:tc>
          <w:tcPr>
            <w:tcW w:w="5817" w:type="dxa"/>
            <w:noWrap w:val="0"/>
            <w:vAlign w:val="center"/>
          </w:tcPr>
          <w:p w14:paraId="14F59F06">
            <w:pPr>
              <w:jc w:val="left"/>
              <w:rPr>
                <w:rFonts w:hint="eastAsia" w:ascii="宋体" w:hAnsi="宋体" w:cs="宋体"/>
                <w:color w:val="auto"/>
                <w:sz w:val="24"/>
                <w:szCs w:val="24"/>
                <w:highlight w:val="none"/>
                <w:lang w:eastAsia="zh-CN"/>
              </w:rPr>
            </w:pPr>
            <w:r>
              <w:rPr>
                <w:rFonts w:hint="eastAsia" w:ascii="宋体" w:hAnsi="宋体" w:eastAsia="宋体" w:cs="宋体"/>
                <w:color w:val="auto"/>
                <w:sz w:val="24"/>
                <w:szCs w:val="24"/>
                <w:highlight w:val="none"/>
              </w:rPr>
              <w:t xml:space="preserve">磋商报价唯一；磋商报价未超过预算金额或者最高限价；磋商报价合理； </w:t>
            </w:r>
          </w:p>
        </w:tc>
      </w:tr>
      <w:tr w14:paraId="22510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7" w:type="dxa"/>
            <w:vMerge w:val="continue"/>
            <w:noWrap w:val="0"/>
            <w:vAlign w:val="center"/>
          </w:tcPr>
          <w:p w14:paraId="0A65BE7A">
            <w:pPr>
              <w:keepNext w:val="0"/>
              <w:keepLines w:val="0"/>
              <w:pageBreakBefore w:val="0"/>
              <w:widowControl w:val="0"/>
              <w:kinsoku/>
              <w:wordWrap/>
              <w:overflowPunct/>
              <w:topLinePunct w:val="0"/>
              <w:autoSpaceDE/>
              <w:autoSpaceDN/>
              <w:bidi w:val="0"/>
              <w:adjustRightInd/>
              <w:snapToGrid/>
              <w:spacing w:line="387" w:lineRule="exact"/>
              <w:ind w:firstLine="0" w:firstLineChars="0"/>
              <w:jc w:val="left"/>
              <w:textAlignment w:val="auto"/>
              <w:rPr>
                <w:rFonts w:hint="eastAsia" w:ascii="宋体" w:hAnsi="宋体" w:cs="宋体"/>
                <w:color w:val="auto"/>
                <w:sz w:val="24"/>
                <w:szCs w:val="24"/>
                <w:highlight w:val="none"/>
                <w:lang w:eastAsia="zh-CN"/>
              </w:rPr>
            </w:pPr>
          </w:p>
        </w:tc>
        <w:tc>
          <w:tcPr>
            <w:tcW w:w="529" w:type="dxa"/>
            <w:vMerge w:val="continue"/>
            <w:noWrap w:val="0"/>
            <w:vAlign w:val="center"/>
          </w:tcPr>
          <w:p w14:paraId="28EEFDE9">
            <w:pPr>
              <w:keepNext w:val="0"/>
              <w:keepLines w:val="0"/>
              <w:pageBreakBefore w:val="0"/>
              <w:widowControl w:val="0"/>
              <w:kinsoku/>
              <w:wordWrap/>
              <w:overflowPunct/>
              <w:topLinePunct w:val="0"/>
              <w:autoSpaceDE/>
              <w:autoSpaceDN/>
              <w:bidi w:val="0"/>
              <w:adjustRightInd/>
              <w:snapToGrid/>
              <w:spacing w:line="387" w:lineRule="exact"/>
              <w:ind w:firstLine="0" w:firstLineChars="0"/>
              <w:jc w:val="left"/>
              <w:textAlignment w:val="auto"/>
              <w:rPr>
                <w:rFonts w:hint="eastAsia" w:ascii="宋体" w:hAnsi="宋体" w:cs="宋体"/>
                <w:color w:val="auto"/>
                <w:sz w:val="24"/>
                <w:szCs w:val="24"/>
                <w:highlight w:val="none"/>
                <w:lang w:eastAsia="zh-CN"/>
              </w:rPr>
            </w:pPr>
          </w:p>
        </w:tc>
        <w:tc>
          <w:tcPr>
            <w:tcW w:w="2683" w:type="dxa"/>
            <w:noWrap w:val="0"/>
            <w:vAlign w:val="center"/>
          </w:tcPr>
          <w:p w14:paraId="30D27FAD">
            <w:pPr>
              <w:jc w:val="left"/>
              <w:rPr>
                <w:rFonts w:hint="eastAsia" w:ascii="宋体" w:hAnsi="宋体" w:cs="宋体"/>
                <w:color w:val="auto"/>
                <w:sz w:val="24"/>
                <w:szCs w:val="24"/>
                <w:highlight w:val="none"/>
                <w:lang w:eastAsia="zh-CN"/>
              </w:rPr>
            </w:pPr>
            <w:r>
              <w:rPr>
                <w:rFonts w:hint="eastAsia" w:ascii="宋体" w:hAnsi="宋体" w:eastAsia="宋体" w:cs="宋体"/>
                <w:color w:val="auto"/>
                <w:sz w:val="24"/>
                <w:szCs w:val="24"/>
                <w:highlight w:val="none"/>
              </w:rPr>
              <w:t>违法违规行为</w:t>
            </w:r>
          </w:p>
        </w:tc>
        <w:tc>
          <w:tcPr>
            <w:tcW w:w="5817" w:type="dxa"/>
            <w:noWrap w:val="0"/>
            <w:vAlign w:val="center"/>
          </w:tcPr>
          <w:p w14:paraId="1DA48475">
            <w:pPr>
              <w:jc w:val="left"/>
              <w:rPr>
                <w:rFonts w:hint="eastAsia" w:ascii="宋体" w:hAnsi="宋体" w:cs="宋体"/>
                <w:color w:val="auto"/>
                <w:sz w:val="24"/>
                <w:szCs w:val="24"/>
                <w:highlight w:val="none"/>
                <w:lang w:eastAsia="zh-CN"/>
              </w:rPr>
            </w:pPr>
            <w:r>
              <w:rPr>
                <w:rFonts w:hint="eastAsia" w:ascii="宋体" w:hAnsi="宋体" w:eastAsia="宋体" w:cs="宋体"/>
                <w:color w:val="auto"/>
                <w:sz w:val="24"/>
                <w:szCs w:val="24"/>
                <w:highlight w:val="none"/>
              </w:rPr>
              <w:t>无磋商文件中的任一情形</w:t>
            </w:r>
            <w:r>
              <w:rPr>
                <w:rFonts w:hint="eastAsia" w:ascii="宋体" w:hAnsi="宋体" w:eastAsia="宋体" w:cs="宋体"/>
                <w:color w:val="auto"/>
                <w:sz w:val="24"/>
                <w:szCs w:val="24"/>
                <w:highlight w:val="none"/>
                <w:lang w:eastAsia="zh-CN"/>
              </w:rPr>
              <w:t>；</w:t>
            </w:r>
          </w:p>
        </w:tc>
      </w:tr>
      <w:tr w14:paraId="1DC463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7" w:type="dxa"/>
            <w:vMerge w:val="continue"/>
            <w:noWrap w:val="0"/>
            <w:vAlign w:val="center"/>
          </w:tcPr>
          <w:p w14:paraId="4AB25076">
            <w:pPr>
              <w:keepNext w:val="0"/>
              <w:keepLines w:val="0"/>
              <w:pageBreakBefore w:val="0"/>
              <w:widowControl w:val="0"/>
              <w:kinsoku/>
              <w:wordWrap/>
              <w:overflowPunct/>
              <w:topLinePunct w:val="0"/>
              <w:autoSpaceDE/>
              <w:autoSpaceDN/>
              <w:bidi w:val="0"/>
              <w:adjustRightInd/>
              <w:snapToGrid/>
              <w:spacing w:line="387" w:lineRule="exact"/>
              <w:ind w:firstLine="0" w:firstLineChars="0"/>
              <w:jc w:val="left"/>
              <w:textAlignment w:val="auto"/>
              <w:rPr>
                <w:rFonts w:hint="eastAsia" w:ascii="宋体" w:hAnsi="宋体" w:cs="宋体"/>
                <w:color w:val="auto"/>
                <w:sz w:val="24"/>
                <w:szCs w:val="24"/>
                <w:highlight w:val="none"/>
                <w:lang w:eastAsia="zh-CN"/>
              </w:rPr>
            </w:pPr>
          </w:p>
        </w:tc>
        <w:tc>
          <w:tcPr>
            <w:tcW w:w="529" w:type="dxa"/>
            <w:vMerge w:val="continue"/>
            <w:noWrap w:val="0"/>
            <w:vAlign w:val="center"/>
          </w:tcPr>
          <w:p w14:paraId="2F83A322">
            <w:pPr>
              <w:keepNext w:val="0"/>
              <w:keepLines w:val="0"/>
              <w:pageBreakBefore w:val="0"/>
              <w:widowControl w:val="0"/>
              <w:kinsoku/>
              <w:wordWrap/>
              <w:overflowPunct/>
              <w:topLinePunct w:val="0"/>
              <w:autoSpaceDE/>
              <w:autoSpaceDN/>
              <w:bidi w:val="0"/>
              <w:adjustRightInd/>
              <w:snapToGrid/>
              <w:spacing w:line="387" w:lineRule="exact"/>
              <w:ind w:firstLine="0" w:firstLineChars="0"/>
              <w:jc w:val="left"/>
              <w:textAlignment w:val="auto"/>
              <w:rPr>
                <w:rFonts w:hint="eastAsia" w:ascii="宋体" w:hAnsi="宋体" w:cs="宋体"/>
                <w:color w:val="auto"/>
                <w:sz w:val="24"/>
                <w:szCs w:val="24"/>
                <w:highlight w:val="none"/>
                <w:lang w:eastAsia="zh-CN"/>
              </w:rPr>
            </w:pPr>
          </w:p>
        </w:tc>
        <w:tc>
          <w:tcPr>
            <w:tcW w:w="2683" w:type="dxa"/>
            <w:noWrap w:val="0"/>
            <w:vAlign w:val="center"/>
          </w:tcPr>
          <w:p w14:paraId="367766BE">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eastAsia="zh-CN"/>
              </w:rPr>
              <w:t>商务要求</w:t>
            </w:r>
          </w:p>
        </w:tc>
        <w:tc>
          <w:tcPr>
            <w:tcW w:w="5817" w:type="dxa"/>
            <w:noWrap w:val="0"/>
            <w:vAlign w:val="center"/>
          </w:tcPr>
          <w:p w14:paraId="77877485">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符合</w:t>
            </w:r>
            <w:r>
              <w:rPr>
                <w:rFonts w:hint="eastAsia" w:ascii="宋体" w:hAnsi="宋体" w:cs="宋体"/>
                <w:color w:val="auto"/>
                <w:sz w:val="24"/>
                <w:szCs w:val="24"/>
                <w:highlight w:val="none"/>
                <w:lang w:eastAsia="zh-CN"/>
              </w:rPr>
              <w:t>磋商文件第三章“采购需求”</w:t>
            </w:r>
            <w:r>
              <w:rPr>
                <w:rFonts w:hint="eastAsia" w:ascii="宋体" w:hAnsi="宋体" w:eastAsia="宋体" w:cs="宋体"/>
                <w:color w:val="auto"/>
                <w:sz w:val="24"/>
                <w:szCs w:val="24"/>
                <w:highlight w:val="none"/>
              </w:rPr>
              <w:t>的要求；</w:t>
            </w:r>
          </w:p>
        </w:tc>
      </w:tr>
      <w:tr w14:paraId="7AEE35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7" w:type="dxa"/>
            <w:vMerge w:val="continue"/>
            <w:noWrap w:val="0"/>
            <w:vAlign w:val="center"/>
          </w:tcPr>
          <w:p w14:paraId="5B714840">
            <w:pPr>
              <w:keepNext w:val="0"/>
              <w:keepLines w:val="0"/>
              <w:pageBreakBefore w:val="0"/>
              <w:widowControl w:val="0"/>
              <w:kinsoku/>
              <w:wordWrap/>
              <w:overflowPunct/>
              <w:topLinePunct w:val="0"/>
              <w:autoSpaceDE/>
              <w:autoSpaceDN/>
              <w:bidi w:val="0"/>
              <w:adjustRightInd/>
              <w:snapToGrid/>
              <w:spacing w:line="387" w:lineRule="exact"/>
              <w:ind w:firstLine="0" w:firstLineChars="0"/>
              <w:jc w:val="left"/>
              <w:textAlignment w:val="auto"/>
              <w:rPr>
                <w:rFonts w:hint="eastAsia" w:ascii="宋体" w:hAnsi="宋体" w:cs="宋体"/>
                <w:color w:val="auto"/>
                <w:sz w:val="24"/>
                <w:szCs w:val="24"/>
                <w:highlight w:val="none"/>
                <w:lang w:eastAsia="zh-CN"/>
              </w:rPr>
            </w:pPr>
          </w:p>
        </w:tc>
        <w:tc>
          <w:tcPr>
            <w:tcW w:w="529" w:type="dxa"/>
            <w:vMerge w:val="continue"/>
            <w:noWrap w:val="0"/>
            <w:vAlign w:val="center"/>
          </w:tcPr>
          <w:p w14:paraId="140D7BAA">
            <w:pPr>
              <w:keepNext w:val="0"/>
              <w:keepLines w:val="0"/>
              <w:pageBreakBefore w:val="0"/>
              <w:widowControl w:val="0"/>
              <w:kinsoku/>
              <w:wordWrap/>
              <w:overflowPunct/>
              <w:topLinePunct w:val="0"/>
              <w:autoSpaceDE/>
              <w:autoSpaceDN/>
              <w:bidi w:val="0"/>
              <w:adjustRightInd/>
              <w:snapToGrid/>
              <w:spacing w:line="387" w:lineRule="exact"/>
              <w:ind w:firstLine="0" w:firstLineChars="0"/>
              <w:jc w:val="left"/>
              <w:textAlignment w:val="auto"/>
              <w:rPr>
                <w:rFonts w:hint="eastAsia" w:ascii="宋体" w:hAnsi="宋体" w:cs="宋体"/>
                <w:color w:val="auto"/>
                <w:sz w:val="24"/>
                <w:szCs w:val="24"/>
                <w:highlight w:val="none"/>
                <w:lang w:eastAsia="zh-CN"/>
              </w:rPr>
            </w:pPr>
          </w:p>
        </w:tc>
        <w:tc>
          <w:tcPr>
            <w:tcW w:w="2683" w:type="dxa"/>
            <w:noWrap w:val="0"/>
            <w:vAlign w:val="center"/>
          </w:tcPr>
          <w:p w14:paraId="0FBF1608">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宋体" w:hAnsi="宋体" w:cs="宋体"/>
                <w:color w:val="auto"/>
                <w:sz w:val="24"/>
                <w:szCs w:val="24"/>
                <w:highlight w:val="none"/>
                <w:lang w:eastAsia="zh-CN"/>
              </w:rPr>
            </w:pPr>
            <w:r>
              <w:rPr>
                <w:rFonts w:hint="eastAsia" w:ascii="宋体" w:hAnsi="宋体" w:cs="宋体"/>
                <w:color w:val="auto"/>
                <w:sz w:val="24"/>
                <w:szCs w:val="24"/>
                <w:highlight w:val="none"/>
                <w:lang w:eastAsia="zh-CN"/>
              </w:rPr>
              <w:t>合同履行期限、质量要求等要求</w:t>
            </w:r>
          </w:p>
        </w:tc>
        <w:tc>
          <w:tcPr>
            <w:tcW w:w="5817" w:type="dxa"/>
            <w:noWrap w:val="0"/>
            <w:vAlign w:val="center"/>
          </w:tcPr>
          <w:p w14:paraId="10BB6E3F">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宋体" w:hAnsi="宋体" w:cs="宋体"/>
                <w:color w:val="auto"/>
                <w:sz w:val="24"/>
                <w:szCs w:val="24"/>
                <w:highlight w:val="none"/>
                <w:lang w:eastAsia="zh-CN"/>
              </w:rPr>
            </w:pPr>
            <w:r>
              <w:rPr>
                <w:rFonts w:hint="eastAsia" w:ascii="宋体" w:hAnsi="宋体" w:eastAsia="宋体" w:cs="宋体"/>
                <w:color w:val="auto"/>
                <w:sz w:val="24"/>
                <w:szCs w:val="24"/>
                <w:highlight w:val="none"/>
              </w:rPr>
              <w:t>符合磋商文件第三章“</w:t>
            </w:r>
            <w:r>
              <w:rPr>
                <w:rFonts w:hint="eastAsia" w:ascii="宋体" w:hAnsi="宋体" w:eastAsia="宋体" w:cs="宋体"/>
                <w:color w:val="auto"/>
                <w:sz w:val="24"/>
                <w:szCs w:val="24"/>
                <w:highlight w:val="none"/>
                <w:lang w:eastAsia="zh-CN"/>
              </w:rPr>
              <w:t>采购需求</w:t>
            </w:r>
            <w:r>
              <w:rPr>
                <w:rFonts w:hint="eastAsia" w:ascii="宋体" w:hAnsi="宋体" w:eastAsia="宋体" w:cs="宋体"/>
                <w:color w:val="auto"/>
                <w:sz w:val="24"/>
                <w:szCs w:val="24"/>
                <w:highlight w:val="none"/>
              </w:rPr>
              <w:t>”的要求</w:t>
            </w:r>
            <w:r>
              <w:rPr>
                <w:rFonts w:hint="eastAsia" w:ascii="宋体" w:hAnsi="宋体" w:eastAsia="宋体" w:cs="宋体"/>
                <w:color w:val="auto"/>
                <w:sz w:val="24"/>
                <w:szCs w:val="24"/>
                <w:highlight w:val="none"/>
                <w:lang w:eastAsia="zh-CN"/>
              </w:rPr>
              <w:t>；</w:t>
            </w:r>
          </w:p>
        </w:tc>
      </w:tr>
      <w:tr w14:paraId="170DB0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7" w:type="dxa"/>
            <w:vMerge w:val="continue"/>
            <w:noWrap w:val="0"/>
            <w:vAlign w:val="center"/>
          </w:tcPr>
          <w:p w14:paraId="69289E3A">
            <w:pPr>
              <w:keepNext w:val="0"/>
              <w:keepLines w:val="0"/>
              <w:pageBreakBefore w:val="0"/>
              <w:widowControl w:val="0"/>
              <w:kinsoku/>
              <w:wordWrap/>
              <w:overflowPunct/>
              <w:topLinePunct w:val="0"/>
              <w:autoSpaceDE/>
              <w:autoSpaceDN/>
              <w:bidi w:val="0"/>
              <w:adjustRightInd/>
              <w:snapToGrid/>
              <w:spacing w:line="387" w:lineRule="exact"/>
              <w:ind w:firstLine="0" w:firstLineChars="0"/>
              <w:jc w:val="left"/>
              <w:textAlignment w:val="auto"/>
              <w:rPr>
                <w:rFonts w:hint="eastAsia" w:ascii="宋体" w:hAnsi="宋体" w:cs="宋体"/>
                <w:color w:val="auto"/>
                <w:sz w:val="24"/>
                <w:szCs w:val="24"/>
                <w:highlight w:val="none"/>
                <w:lang w:eastAsia="zh-CN"/>
              </w:rPr>
            </w:pPr>
          </w:p>
        </w:tc>
        <w:tc>
          <w:tcPr>
            <w:tcW w:w="529" w:type="dxa"/>
            <w:vMerge w:val="continue"/>
            <w:noWrap w:val="0"/>
            <w:vAlign w:val="center"/>
          </w:tcPr>
          <w:p w14:paraId="01744B19">
            <w:pPr>
              <w:keepNext w:val="0"/>
              <w:keepLines w:val="0"/>
              <w:pageBreakBefore w:val="0"/>
              <w:widowControl w:val="0"/>
              <w:kinsoku/>
              <w:wordWrap/>
              <w:overflowPunct/>
              <w:topLinePunct w:val="0"/>
              <w:autoSpaceDE/>
              <w:autoSpaceDN/>
              <w:bidi w:val="0"/>
              <w:adjustRightInd/>
              <w:snapToGrid/>
              <w:spacing w:line="387" w:lineRule="exact"/>
              <w:ind w:firstLine="0" w:firstLineChars="0"/>
              <w:jc w:val="left"/>
              <w:textAlignment w:val="auto"/>
              <w:rPr>
                <w:rFonts w:hint="eastAsia" w:ascii="宋体" w:hAnsi="宋体" w:cs="宋体"/>
                <w:color w:val="auto"/>
                <w:sz w:val="24"/>
                <w:szCs w:val="24"/>
                <w:highlight w:val="none"/>
                <w:lang w:eastAsia="zh-CN"/>
              </w:rPr>
            </w:pPr>
          </w:p>
        </w:tc>
        <w:tc>
          <w:tcPr>
            <w:tcW w:w="2683" w:type="dxa"/>
            <w:noWrap w:val="0"/>
            <w:vAlign w:val="center"/>
          </w:tcPr>
          <w:p w14:paraId="15D7339A">
            <w:pPr>
              <w:jc w:val="left"/>
              <w:rPr>
                <w:rFonts w:hint="eastAsia" w:ascii="宋体" w:hAnsi="宋体" w:cs="宋体"/>
                <w:color w:val="auto"/>
                <w:sz w:val="24"/>
                <w:szCs w:val="24"/>
                <w:highlight w:val="none"/>
                <w:lang w:eastAsia="zh-CN"/>
              </w:rPr>
            </w:pPr>
            <w:r>
              <w:rPr>
                <w:rFonts w:hint="eastAsia" w:ascii="宋体" w:hAnsi="宋体" w:eastAsia="宋体" w:cs="宋体"/>
                <w:color w:val="auto"/>
                <w:sz w:val="24"/>
                <w:szCs w:val="24"/>
                <w:highlight w:val="none"/>
              </w:rPr>
              <w:t>其它要求</w:t>
            </w:r>
          </w:p>
        </w:tc>
        <w:tc>
          <w:tcPr>
            <w:tcW w:w="5817" w:type="dxa"/>
            <w:noWrap w:val="0"/>
            <w:vAlign w:val="center"/>
          </w:tcPr>
          <w:p w14:paraId="09DA831F">
            <w:pPr>
              <w:jc w:val="left"/>
              <w:rPr>
                <w:rFonts w:hint="eastAsia" w:ascii="宋体" w:hAnsi="宋体" w:cs="宋体"/>
                <w:color w:val="auto"/>
                <w:sz w:val="24"/>
                <w:szCs w:val="24"/>
                <w:highlight w:val="none"/>
                <w:lang w:eastAsia="zh-CN"/>
              </w:rPr>
            </w:pPr>
            <w:r>
              <w:rPr>
                <w:rFonts w:hint="eastAsia" w:ascii="宋体" w:hAnsi="宋体" w:eastAsia="宋体" w:cs="宋体"/>
                <w:color w:val="auto"/>
                <w:sz w:val="24"/>
                <w:szCs w:val="24"/>
                <w:highlight w:val="none"/>
              </w:rPr>
              <w:t xml:space="preserve">符合法律法规和磋商文件规定的其它实质性要求。 </w:t>
            </w:r>
          </w:p>
        </w:tc>
      </w:tr>
    </w:tbl>
    <w:p w14:paraId="2C867DA6">
      <w:pPr>
        <w:spacing w:line="372" w:lineRule="exact"/>
        <w:ind w:firstLine="486" w:firstLineChars="20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说明：</w:t>
      </w:r>
    </w:p>
    <w:p w14:paraId="229795B1">
      <w:pPr>
        <w:spacing w:line="372" w:lineRule="exact"/>
        <w:ind w:firstLine="486" w:firstLineChars="20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①响应文件中粘贴以上资格审查资料复印件加盖供应商单位公章。授权委托书原件现场提供。</w:t>
      </w:r>
    </w:p>
    <w:p w14:paraId="0F38842C">
      <w:pPr>
        <w:spacing w:line="372" w:lineRule="exact"/>
        <w:ind w:firstLine="486" w:firstLineChars="20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②响应人未按规定报名、领取采购文件等资料的，其投标无效。</w:t>
      </w:r>
    </w:p>
    <w:p w14:paraId="0256B526">
      <w:pPr>
        <w:spacing w:line="372" w:lineRule="exact"/>
        <w:ind w:firstLine="486" w:firstLineChars="20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③评标委员会将对资格后审合格的供应商的响应文件进行评审，资格后审不合格的供应商的响应文件将作废标处理。</w:t>
      </w:r>
    </w:p>
    <w:p w14:paraId="57D0EA97">
      <w:pPr>
        <w:spacing w:line="320" w:lineRule="exact"/>
        <w:ind w:firstLine="486" w:firstLineChars="200"/>
        <w:outlineLvl w:val="1"/>
        <w:rPr>
          <w:rFonts w:hint="eastAsia" w:ascii="宋体" w:hAnsi="宋体" w:eastAsia="宋体" w:cs="宋体"/>
          <w:b/>
          <w:color w:val="auto"/>
          <w:sz w:val="24"/>
          <w:szCs w:val="24"/>
          <w:highlight w:val="none"/>
        </w:rPr>
      </w:pPr>
      <w:bookmarkStart w:id="76" w:name="_Toc9032"/>
      <w:r>
        <w:rPr>
          <w:rFonts w:hint="eastAsia" w:ascii="宋体" w:hAnsi="宋体" w:eastAsia="宋体" w:cs="宋体"/>
          <w:b/>
          <w:bCs/>
          <w:color w:val="auto"/>
          <w:sz w:val="24"/>
          <w:szCs w:val="24"/>
          <w:highlight w:val="none"/>
        </w:rPr>
        <w:t>19.3.</w:t>
      </w:r>
      <w:r>
        <w:rPr>
          <w:rFonts w:hint="eastAsia" w:ascii="宋体" w:hAnsi="宋体" w:eastAsia="宋体" w:cs="宋体"/>
          <w:b/>
          <w:bCs/>
          <w:color w:val="auto"/>
          <w:sz w:val="24"/>
          <w:szCs w:val="24"/>
          <w:highlight w:val="none"/>
          <w:lang w:val="en-US" w:eastAsia="zh-CN"/>
        </w:rPr>
        <w:t>2</w:t>
      </w:r>
      <w:r>
        <w:rPr>
          <w:rFonts w:hint="eastAsia" w:ascii="宋体" w:hAnsi="宋体" w:eastAsia="宋体" w:cs="宋体"/>
          <w:b/>
          <w:color w:val="auto"/>
          <w:sz w:val="24"/>
          <w:szCs w:val="24"/>
          <w:highlight w:val="none"/>
        </w:rPr>
        <w:t>详细性评审评分标准</w:t>
      </w:r>
      <w:bookmarkEnd w:id="76"/>
    </w:p>
    <w:p w14:paraId="2498AF92">
      <w:pPr>
        <w:spacing w:line="320" w:lineRule="exact"/>
        <w:ind w:firstLine="486"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本项目得分为</w:t>
      </w:r>
      <w:r>
        <w:rPr>
          <w:rFonts w:hint="eastAsia" w:ascii="宋体" w:hAnsi="宋体" w:eastAsia="宋体" w:cs="宋体"/>
          <w:color w:val="auto"/>
          <w:sz w:val="24"/>
          <w:szCs w:val="24"/>
          <w:highlight w:val="none"/>
          <w:lang w:val="en-US" w:eastAsia="zh-CN"/>
        </w:rPr>
        <w:t>商务</w:t>
      </w:r>
      <w:r>
        <w:rPr>
          <w:rFonts w:hint="eastAsia" w:ascii="宋体" w:hAnsi="宋体" w:eastAsia="宋体" w:cs="宋体"/>
          <w:color w:val="auto"/>
          <w:sz w:val="24"/>
          <w:szCs w:val="24"/>
          <w:highlight w:val="none"/>
        </w:rPr>
        <w:t>评审（</w:t>
      </w:r>
      <w:r>
        <w:rPr>
          <w:rFonts w:hint="eastAsia" w:ascii="宋体" w:hAnsi="宋体" w:cs="宋体"/>
          <w:color w:val="auto"/>
          <w:sz w:val="24"/>
          <w:szCs w:val="24"/>
          <w:highlight w:val="none"/>
          <w:lang w:val="en-US" w:eastAsia="zh-CN"/>
        </w:rPr>
        <w:t>20</w:t>
      </w:r>
      <w:r>
        <w:rPr>
          <w:rFonts w:hint="eastAsia" w:ascii="宋体" w:hAnsi="宋体" w:eastAsia="宋体" w:cs="宋体"/>
          <w:color w:val="auto"/>
          <w:sz w:val="24"/>
          <w:szCs w:val="24"/>
          <w:highlight w:val="none"/>
        </w:rPr>
        <w:t>分）、</w:t>
      </w:r>
      <w:r>
        <w:rPr>
          <w:rFonts w:hint="eastAsia" w:ascii="宋体" w:hAnsi="宋体" w:eastAsia="宋体" w:cs="宋体"/>
          <w:bCs/>
          <w:color w:val="auto"/>
          <w:sz w:val="24"/>
          <w:szCs w:val="24"/>
          <w:highlight w:val="none"/>
        </w:rPr>
        <w:t>技术评审</w:t>
      </w:r>
      <w:r>
        <w:rPr>
          <w:rFonts w:hint="eastAsia" w:ascii="宋体" w:hAnsi="宋体" w:eastAsia="宋体" w:cs="宋体"/>
          <w:color w:val="auto"/>
          <w:sz w:val="24"/>
          <w:szCs w:val="24"/>
          <w:highlight w:val="none"/>
        </w:rPr>
        <w:t>（</w:t>
      </w:r>
      <w:r>
        <w:rPr>
          <w:rFonts w:hint="eastAsia" w:ascii="宋体" w:hAnsi="宋体" w:cs="宋体"/>
          <w:color w:val="auto"/>
          <w:sz w:val="24"/>
          <w:szCs w:val="24"/>
          <w:highlight w:val="none"/>
          <w:lang w:val="en-US" w:eastAsia="zh-CN"/>
        </w:rPr>
        <w:t>50</w:t>
      </w:r>
      <w:r>
        <w:rPr>
          <w:rFonts w:hint="eastAsia" w:ascii="宋体" w:hAnsi="宋体" w:eastAsia="宋体" w:cs="宋体"/>
          <w:color w:val="auto"/>
          <w:sz w:val="24"/>
          <w:szCs w:val="24"/>
          <w:highlight w:val="none"/>
        </w:rPr>
        <w:t>分）、价格评审（</w:t>
      </w:r>
      <w:r>
        <w:rPr>
          <w:rFonts w:hint="eastAsia" w:ascii="宋体" w:hAnsi="宋体" w:cs="宋体"/>
          <w:color w:val="auto"/>
          <w:sz w:val="24"/>
          <w:szCs w:val="24"/>
          <w:highlight w:val="none"/>
          <w:lang w:val="en-US" w:eastAsia="zh-CN"/>
        </w:rPr>
        <w:t>30</w:t>
      </w:r>
      <w:r>
        <w:rPr>
          <w:rFonts w:hint="eastAsia" w:ascii="宋体" w:hAnsi="宋体" w:eastAsia="宋体" w:cs="宋体"/>
          <w:color w:val="auto"/>
          <w:sz w:val="24"/>
          <w:szCs w:val="24"/>
          <w:highlight w:val="none"/>
        </w:rPr>
        <w:t>分），共计100分。项目评审过程中，各供应商的最终得分为磋商小组所有评委所评定分数的算术平均值。</w:t>
      </w:r>
    </w:p>
    <w:tbl>
      <w:tblPr>
        <w:tblStyle w:val="16"/>
        <w:tblW w:w="97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2"/>
        <w:gridCol w:w="729"/>
        <w:gridCol w:w="559"/>
        <w:gridCol w:w="7991"/>
      </w:tblGrid>
      <w:tr w14:paraId="1D19D3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472" w:type="dxa"/>
            <w:vMerge w:val="restart"/>
            <w:noWrap w:val="0"/>
            <w:vAlign w:val="center"/>
          </w:tcPr>
          <w:p w14:paraId="05AC37CC">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商务</w:t>
            </w:r>
            <w:r>
              <w:rPr>
                <w:rFonts w:hint="eastAsia" w:ascii="宋体" w:hAnsi="宋体" w:eastAsia="宋体" w:cs="宋体"/>
                <w:color w:val="auto"/>
                <w:sz w:val="24"/>
                <w:szCs w:val="24"/>
                <w:highlight w:val="none"/>
              </w:rPr>
              <w:t>评审</w:t>
            </w:r>
            <w:r>
              <w:rPr>
                <w:rFonts w:hint="eastAsia" w:ascii="宋体" w:hAnsi="宋体" w:cs="宋体"/>
                <w:color w:val="auto"/>
                <w:sz w:val="24"/>
                <w:szCs w:val="24"/>
                <w:highlight w:val="none"/>
                <w:lang w:val="en-US" w:eastAsia="zh-CN"/>
              </w:rPr>
              <w:t>20</w:t>
            </w:r>
            <w:r>
              <w:rPr>
                <w:rFonts w:hint="eastAsia" w:ascii="宋体" w:hAnsi="宋体" w:eastAsia="宋体" w:cs="宋体"/>
                <w:color w:val="auto"/>
                <w:sz w:val="24"/>
                <w:szCs w:val="24"/>
                <w:highlight w:val="none"/>
              </w:rPr>
              <w:t>分</w:t>
            </w:r>
          </w:p>
        </w:tc>
        <w:tc>
          <w:tcPr>
            <w:tcW w:w="729" w:type="dxa"/>
            <w:noWrap w:val="0"/>
            <w:vAlign w:val="center"/>
          </w:tcPr>
          <w:p w14:paraId="6441DCDC">
            <w:pPr>
              <w:tabs>
                <w:tab w:val="left" w:pos="420"/>
                <w:tab w:val="left" w:pos="525"/>
                <w:tab w:val="left" w:pos="630"/>
                <w:tab w:val="left" w:pos="735"/>
              </w:tabs>
              <w:spacing w:line="410" w:lineRule="exact"/>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类似业绩</w:t>
            </w:r>
          </w:p>
        </w:tc>
        <w:tc>
          <w:tcPr>
            <w:tcW w:w="559" w:type="dxa"/>
            <w:noWrap w:val="0"/>
            <w:vAlign w:val="center"/>
          </w:tcPr>
          <w:p w14:paraId="4467BABC">
            <w:pPr>
              <w:tabs>
                <w:tab w:val="left" w:pos="420"/>
                <w:tab w:val="left" w:pos="525"/>
                <w:tab w:val="left" w:pos="630"/>
                <w:tab w:val="left" w:pos="735"/>
              </w:tabs>
              <w:spacing w:line="410" w:lineRule="exact"/>
              <w:rPr>
                <w:rFonts w:hint="eastAsia" w:ascii="宋体" w:hAnsi="宋体" w:eastAsia="宋体" w:cs="宋体"/>
                <w:color w:val="auto"/>
                <w:kern w:val="0"/>
                <w:sz w:val="24"/>
                <w:szCs w:val="24"/>
                <w:highlight w:val="none"/>
                <w:lang w:val="en-US" w:eastAsia="zh-CN"/>
              </w:rPr>
            </w:pPr>
            <w:r>
              <w:rPr>
                <w:rFonts w:hint="eastAsia" w:ascii="宋体" w:hAnsi="宋体" w:cs="宋体"/>
                <w:color w:val="auto"/>
                <w:sz w:val="24"/>
                <w:szCs w:val="24"/>
                <w:highlight w:val="none"/>
                <w:lang w:val="en-US" w:eastAsia="zh-CN"/>
              </w:rPr>
              <w:t>6</w:t>
            </w:r>
            <w:r>
              <w:rPr>
                <w:rFonts w:hint="eastAsia" w:ascii="宋体" w:hAnsi="宋体" w:eastAsia="宋体" w:cs="宋体"/>
                <w:color w:val="auto"/>
                <w:sz w:val="24"/>
                <w:szCs w:val="24"/>
                <w:highlight w:val="none"/>
              </w:rPr>
              <w:t>分</w:t>
            </w:r>
          </w:p>
        </w:tc>
        <w:tc>
          <w:tcPr>
            <w:tcW w:w="7991" w:type="dxa"/>
            <w:noWrap w:val="0"/>
            <w:vAlign w:val="center"/>
          </w:tcPr>
          <w:p w14:paraId="60A86DC4">
            <w:pPr>
              <w:tabs>
                <w:tab w:val="left" w:pos="420"/>
                <w:tab w:val="left" w:pos="525"/>
                <w:tab w:val="left" w:pos="630"/>
                <w:tab w:val="left" w:pos="735"/>
              </w:tabs>
              <w:spacing w:line="410" w:lineRule="exact"/>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供应商近</w:t>
            </w:r>
            <w:r>
              <w:rPr>
                <w:rFonts w:hint="eastAsia" w:ascii="宋体" w:hAnsi="宋体" w:eastAsia="宋体" w:cs="宋体"/>
                <w:color w:val="auto"/>
                <w:sz w:val="24"/>
                <w:szCs w:val="24"/>
                <w:highlight w:val="none"/>
                <w:lang w:eastAsia="zh-CN"/>
              </w:rPr>
              <w:t>三</w:t>
            </w:r>
            <w:r>
              <w:rPr>
                <w:rFonts w:hint="eastAsia" w:ascii="宋体" w:hAnsi="宋体" w:eastAsia="宋体" w:cs="宋体"/>
                <w:color w:val="auto"/>
                <w:sz w:val="24"/>
                <w:szCs w:val="24"/>
                <w:highlight w:val="none"/>
              </w:rPr>
              <w:t>年以来（从投标截止日往前推算，以合同签订日期为准）独立承担类似项目业绩，每</w:t>
            </w:r>
            <w:r>
              <w:rPr>
                <w:rFonts w:hint="eastAsia" w:ascii="宋体" w:hAnsi="宋体" w:cs="宋体"/>
                <w:color w:val="auto"/>
                <w:sz w:val="24"/>
                <w:szCs w:val="24"/>
                <w:highlight w:val="none"/>
                <w:lang w:eastAsia="zh-CN"/>
              </w:rPr>
              <w:t>提供</w:t>
            </w:r>
            <w:r>
              <w:rPr>
                <w:rFonts w:hint="eastAsia" w:ascii="宋体" w:hAnsi="宋体" w:eastAsia="宋体" w:cs="宋体"/>
                <w:color w:val="auto"/>
                <w:sz w:val="24"/>
                <w:szCs w:val="24"/>
                <w:highlight w:val="none"/>
              </w:rPr>
              <w:t>一项业绩得</w:t>
            </w:r>
            <w:r>
              <w:rPr>
                <w:rFonts w:hint="eastAsia" w:ascii="宋体" w:hAnsi="宋体" w:cs="宋体"/>
                <w:color w:val="auto"/>
                <w:sz w:val="24"/>
                <w:szCs w:val="24"/>
                <w:highlight w:val="none"/>
                <w:lang w:val="en-US" w:eastAsia="zh-CN"/>
              </w:rPr>
              <w:t>2</w:t>
            </w:r>
            <w:r>
              <w:rPr>
                <w:rFonts w:hint="eastAsia" w:ascii="宋体" w:hAnsi="宋体" w:eastAsia="宋体" w:cs="宋体"/>
                <w:color w:val="auto"/>
                <w:sz w:val="24"/>
                <w:szCs w:val="24"/>
                <w:highlight w:val="none"/>
              </w:rPr>
              <w:t>分，最多得</w:t>
            </w:r>
            <w:r>
              <w:rPr>
                <w:rFonts w:hint="eastAsia" w:ascii="宋体" w:hAnsi="宋体" w:cs="宋体"/>
                <w:color w:val="auto"/>
                <w:sz w:val="24"/>
                <w:szCs w:val="24"/>
                <w:highlight w:val="none"/>
                <w:lang w:val="en-US" w:eastAsia="zh-CN"/>
              </w:rPr>
              <w:t>6</w:t>
            </w:r>
            <w:r>
              <w:rPr>
                <w:rFonts w:hint="eastAsia" w:ascii="宋体" w:hAnsi="宋体" w:eastAsia="宋体" w:cs="宋体"/>
                <w:color w:val="auto"/>
                <w:sz w:val="24"/>
                <w:szCs w:val="24"/>
                <w:highlight w:val="none"/>
              </w:rPr>
              <w:t>分</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（提供项目合同</w:t>
            </w:r>
            <w:r>
              <w:rPr>
                <w:rFonts w:hint="eastAsia" w:ascii="宋体" w:hAnsi="宋体" w:eastAsia="宋体" w:cs="宋体"/>
                <w:color w:val="auto"/>
                <w:sz w:val="24"/>
                <w:szCs w:val="24"/>
                <w:highlight w:val="none"/>
                <w:lang w:eastAsia="zh-CN"/>
              </w:rPr>
              <w:t>复印件加盖</w:t>
            </w:r>
            <w:r>
              <w:rPr>
                <w:rFonts w:hint="eastAsia" w:ascii="宋体" w:hAnsi="宋体" w:cs="宋体"/>
                <w:color w:val="auto"/>
                <w:sz w:val="24"/>
                <w:szCs w:val="24"/>
                <w:highlight w:val="none"/>
                <w:lang w:eastAsia="zh-CN"/>
              </w:rPr>
              <w:t>供应商</w:t>
            </w:r>
            <w:r>
              <w:rPr>
                <w:rFonts w:hint="eastAsia" w:ascii="宋体" w:hAnsi="宋体" w:eastAsia="宋体" w:cs="宋体"/>
                <w:color w:val="auto"/>
                <w:sz w:val="24"/>
                <w:szCs w:val="24"/>
                <w:highlight w:val="none"/>
                <w:lang w:eastAsia="zh-CN"/>
              </w:rPr>
              <w:t>公章</w:t>
            </w:r>
            <w:r>
              <w:rPr>
                <w:rFonts w:hint="eastAsia" w:ascii="宋体" w:hAnsi="宋体" w:eastAsia="宋体" w:cs="宋体"/>
                <w:color w:val="auto"/>
                <w:sz w:val="24"/>
                <w:szCs w:val="24"/>
                <w:highlight w:val="none"/>
              </w:rPr>
              <w:t>，否则不得分）</w:t>
            </w:r>
          </w:p>
        </w:tc>
      </w:tr>
      <w:tr w14:paraId="727F02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472" w:type="dxa"/>
            <w:vMerge w:val="continue"/>
            <w:noWrap w:val="0"/>
            <w:vAlign w:val="center"/>
          </w:tcPr>
          <w:p w14:paraId="16AEB9AF">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color w:val="auto"/>
                <w:sz w:val="24"/>
                <w:szCs w:val="24"/>
                <w:highlight w:val="none"/>
                <w:lang w:val="en-US" w:eastAsia="zh-CN"/>
              </w:rPr>
            </w:pPr>
          </w:p>
        </w:tc>
        <w:tc>
          <w:tcPr>
            <w:tcW w:w="729" w:type="dxa"/>
            <w:noWrap w:val="0"/>
            <w:vAlign w:val="center"/>
          </w:tcPr>
          <w:p w14:paraId="676F0AC0">
            <w:pPr>
              <w:tabs>
                <w:tab w:val="left" w:pos="420"/>
                <w:tab w:val="left" w:pos="525"/>
                <w:tab w:val="left" w:pos="630"/>
                <w:tab w:val="left" w:pos="735"/>
              </w:tabs>
              <w:spacing w:line="410" w:lineRule="exac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auto"/>
                <w:sz w:val="24"/>
                <w:szCs w:val="24"/>
                <w:highlight w:val="none"/>
                <w:lang w:val="en-US" w:eastAsia="zh-CN"/>
              </w:rPr>
              <w:t>服务承诺</w:t>
            </w:r>
          </w:p>
        </w:tc>
        <w:tc>
          <w:tcPr>
            <w:tcW w:w="559" w:type="dxa"/>
            <w:noWrap w:val="0"/>
            <w:vAlign w:val="center"/>
          </w:tcPr>
          <w:p w14:paraId="05BC6439">
            <w:pPr>
              <w:tabs>
                <w:tab w:val="left" w:pos="420"/>
                <w:tab w:val="left" w:pos="525"/>
                <w:tab w:val="left" w:pos="630"/>
                <w:tab w:val="left" w:pos="735"/>
              </w:tabs>
              <w:spacing w:line="410" w:lineRule="exact"/>
              <w:rPr>
                <w:rFonts w:hint="eastAsia" w:ascii="宋体" w:hAnsi="宋体" w:eastAsia="宋体" w:cs="宋体"/>
                <w:color w:val="000000"/>
                <w:kern w:val="0"/>
                <w:sz w:val="24"/>
                <w:szCs w:val="24"/>
                <w:highlight w:val="none"/>
                <w:lang w:val="en-US" w:eastAsia="zh-CN" w:bidi="ar"/>
              </w:rPr>
            </w:pPr>
            <w:r>
              <w:rPr>
                <w:rFonts w:hint="eastAsia" w:ascii="宋体" w:hAnsi="宋体" w:cs="宋体"/>
                <w:color w:val="auto"/>
                <w:sz w:val="24"/>
                <w:szCs w:val="24"/>
                <w:highlight w:val="none"/>
                <w:lang w:val="en-US" w:eastAsia="zh-CN"/>
              </w:rPr>
              <w:t>6</w:t>
            </w:r>
            <w:r>
              <w:rPr>
                <w:rFonts w:hint="eastAsia" w:ascii="宋体" w:hAnsi="宋体" w:eastAsia="宋体" w:cs="宋体"/>
                <w:color w:val="auto"/>
                <w:sz w:val="24"/>
                <w:szCs w:val="24"/>
                <w:highlight w:val="none"/>
                <w:lang w:val="en-US" w:eastAsia="zh-CN"/>
              </w:rPr>
              <w:t>分</w:t>
            </w:r>
          </w:p>
        </w:tc>
        <w:tc>
          <w:tcPr>
            <w:tcW w:w="7991" w:type="dxa"/>
            <w:noWrap w:val="0"/>
            <w:vAlign w:val="center"/>
          </w:tcPr>
          <w:p w14:paraId="00CC00E8">
            <w:pPr>
              <w:tabs>
                <w:tab w:val="left" w:pos="420"/>
                <w:tab w:val="left" w:pos="525"/>
                <w:tab w:val="left" w:pos="630"/>
                <w:tab w:val="left" w:pos="735"/>
              </w:tabs>
              <w:spacing w:line="410" w:lineRule="exac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auto"/>
                <w:sz w:val="24"/>
                <w:szCs w:val="24"/>
                <w:highlight w:val="none"/>
              </w:rPr>
              <w:t>响应文件中包含保障社会效益的承诺、保障工人的合法地位和权益（含社会保险、意外伤害、福利待遇）的承诺、配合业主方做好各类大型活动的承诺、独立处理安全事故和劳资争议责任的承诺、独立承担民事和法律责任的承诺（含违约责任的承诺），</w:t>
            </w:r>
            <w:r>
              <w:rPr>
                <w:rFonts w:hint="eastAsia" w:ascii="宋体" w:hAnsi="宋体" w:eastAsia="宋体" w:cs="宋体"/>
                <w:color w:val="auto"/>
                <w:sz w:val="24"/>
                <w:szCs w:val="24"/>
                <w:highlight w:val="none"/>
                <w:lang w:eastAsia="zh-CN"/>
              </w:rPr>
              <w:t>按顺序</w:t>
            </w:r>
            <w:r>
              <w:rPr>
                <w:rFonts w:hint="eastAsia" w:ascii="宋体" w:hAnsi="宋体" w:eastAsia="宋体" w:cs="宋体"/>
                <w:color w:val="auto"/>
                <w:sz w:val="24"/>
                <w:szCs w:val="24"/>
                <w:highlight w:val="none"/>
              </w:rPr>
              <w:t>全部满足得</w:t>
            </w:r>
            <w:r>
              <w:rPr>
                <w:rFonts w:hint="eastAsia" w:ascii="宋体" w:hAnsi="宋体" w:cs="宋体"/>
                <w:color w:val="auto"/>
                <w:sz w:val="24"/>
                <w:szCs w:val="24"/>
                <w:highlight w:val="none"/>
                <w:lang w:val="en-US" w:eastAsia="zh-CN"/>
              </w:rPr>
              <w:t>6</w:t>
            </w:r>
            <w:r>
              <w:rPr>
                <w:rFonts w:hint="eastAsia" w:ascii="宋体" w:hAnsi="宋体" w:eastAsia="宋体" w:cs="宋体"/>
                <w:color w:val="auto"/>
                <w:sz w:val="24"/>
                <w:szCs w:val="24"/>
                <w:highlight w:val="none"/>
              </w:rPr>
              <w:t>分，</w:t>
            </w:r>
            <w:r>
              <w:rPr>
                <w:rFonts w:hint="eastAsia" w:ascii="宋体" w:hAnsi="宋体" w:eastAsia="宋体" w:cs="宋体"/>
                <w:color w:val="auto"/>
                <w:sz w:val="24"/>
                <w:szCs w:val="24"/>
                <w:highlight w:val="none"/>
                <w:lang w:eastAsia="zh-CN"/>
              </w:rPr>
              <w:t>顺序不一致或</w:t>
            </w:r>
            <w:r>
              <w:rPr>
                <w:rFonts w:hint="eastAsia" w:ascii="宋体" w:hAnsi="宋体" w:eastAsia="宋体" w:cs="宋体"/>
                <w:color w:val="auto"/>
                <w:sz w:val="24"/>
                <w:szCs w:val="24"/>
                <w:highlight w:val="none"/>
              </w:rPr>
              <w:t>缺项</w:t>
            </w:r>
            <w:r>
              <w:rPr>
                <w:rFonts w:hint="eastAsia" w:ascii="宋体" w:hAnsi="宋体" w:eastAsia="宋体" w:cs="宋体"/>
                <w:color w:val="auto"/>
                <w:sz w:val="24"/>
                <w:szCs w:val="24"/>
                <w:highlight w:val="none"/>
                <w:lang w:eastAsia="zh-CN"/>
              </w:rPr>
              <w:t>的</w:t>
            </w:r>
            <w:r>
              <w:rPr>
                <w:rFonts w:hint="eastAsia" w:ascii="宋体" w:hAnsi="宋体" w:eastAsia="宋体" w:cs="宋体"/>
                <w:color w:val="auto"/>
                <w:sz w:val="24"/>
                <w:szCs w:val="24"/>
                <w:highlight w:val="none"/>
              </w:rPr>
              <w:t>不得分。（须提供承诺书原件加盖</w:t>
            </w:r>
            <w:r>
              <w:rPr>
                <w:rFonts w:hint="eastAsia" w:ascii="宋体" w:hAnsi="宋体" w:cs="宋体"/>
                <w:color w:val="auto"/>
                <w:sz w:val="24"/>
                <w:szCs w:val="24"/>
                <w:highlight w:val="none"/>
                <w:lang w:eastAsia="zh-CN"/>
              </w:rPr>
              <w:t>供应商</w:t>
            </w:r>
            <w:r>
              <w:rPr>
                <w:rFonts w:hint="eastAsia" w:ascii="宋体" w:hAnsi="宋体" w:eastAsia="宋体" w:cs="宋体"/>
                <w:color w:val="auto"/>
                <w:sz w:val="24"/>
                <w:szCs w:val="24"/>
                <w:highlight w:val="none"/>
              </w:rPr>
              <w:t>公章，否则不得分）</w:t>
            </w:r>
          </w:p>
        </w:tc>
      </w:tr>
      <w:tr w14:paraId="2509C0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jc w:val="center"/>
        </w:trPr>
        <w:tc>
          <w:tcPr>
            <w:tcW w:w="472" w:type="dxa"/>
            <w:vMerge w:val="continue"/>
            <w:noWrap w:val="0"/>
            <w:vAlign w:val="center"/>
          </w:tcPr>
          <w:p w14:paraId="3EAADD83">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color w:val="auto"/>
                <w:sz w:val="24"/>
                <w:szCs w:val="24"/>
                <w:highlight w:val="none"/>
              </w:rPr>
            </w:pPr>
          </w:p>
        </w:tc>
        <w:tc>
          <w:tcPr>
            <w:tcW w:w="729" w:type="dxa"/>
            <w:noWrap w:val="0"/>
            <w:vAlign w:val="center"/>
          </w:tcPr>
          <w:p w14:paraId="541A3A34">
            <w:pPr>
              <w:tabs>
                <w:tab w:val="left" w:pos="420"/>
                <w:tab w:val="left" w:pos="525"/>
                <w:tab w:val="left" w:pos="630"/>
                <w:tab w:val="left" w:pos="735"/>
              </w:tabs>
              <w:spacing w:line="410" w:lineRule="exac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auto"/>
                <w:sz w:val="24"/>
                <w:szCs w:val="24"/>
                <w:highlight w:val="none"/>
                <w:lang w:eastAsia="zh-CN"/>
              </w:rPr>
              <w:t>密闭式垃圾运输车</w:t>
            </w:r>
          </w:p>
        </w:tc>
        <w:tc>
          <w:tcPr>
            <w:tcW w:w="559" w:type="dxa"/>
            <w:noWrap w:val="0"/>
            <w:vAlign w:val="center"/>
          </w:tcPr>
          <w:p w14:paraId="579F4608">
            <w:pPr>
              <w:tabs>
                <w:tab w:val="left" w:pos="420"/>
                <w:tab w:val="left" w:pos="525"/>
                <w:tab w:val="left" w:pos="630"/>
                <w:tab w:val="left" w:pos="735"/>
              </w:tabs>
              <w:spacing w:line="410" w:lineRule="exact"/>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sz w:val="24"/>
                <w:szCs w:val="24"/>
                <w:highlight w:val="none"/>
                <w:lang w:val="en-US" w:eastAsia="zh-CN"/>
              </w:rPr>
              <w:t>8分</w:t>
            </w:r>
          </w:p>
        </w:tc>
        <w:tc>
          <w:tcPr>
            <w:tcW w:w="7991" w:type="dxa"/>
            <w:noWrap w:val="0"/>
            <w:vAlign w:val="center"/>
          </w:tcPr>
          <w:p w14:paraId="4EF5B661">
            <w:pPr>
              <w:tabs>
                <w:tab w:val="left" w:pos="420"/>
                <w:tab w:val="left" w:pos="525"/>
                <w:tab w:val="left" w:pos="630"/>
                <w:tab w:val="left" w:pos="735"/>
              </w:tabs>
              <w:spacing w:line="410" w:lineRule="exact"/>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sz w:val="24"/>
                <w:szCs w:val="24"/>
                <w:highlight w:val="none"/>
                <w:lang w:val="en-US" w:eastAsia="zh-CN"/>
              </w:rPr>
              <w:t>供应商提供的2台</w:t>
            </w:r>
            <w:r>
              <w:rPr>
                <w:rFonts w:hint="eastAsia" w:ascii="宋体" w:hAnsi="宋体" w:eastAsia="宋体" w:cs="宋体"/>
                <w:color w:val="auto"/>
                <w:sz w:val="24"/>
                <w:szCs w:val="24"/>
                <w:highlight w:val="none"/>
                <w:lang w:eastAsia="zh-CN"/>
              </w:rPr>
              <w:t>密闭式垃圾运输车</w:t>
            </w:r>
            <w:r>
              <w:rPr>
                <w:rFonts w:hint="eastAsia" w:ascii="宋体" w:hAnsi="宋体" w:eastAsia="宋体" w:cs="宋体"/>
                <w:color w:val="auto"/>
                <w:sz w:val="24"/>
                <w:szCs w:val="24"/>
                <w:highlight w:val="none"/>
                <w:lang w:val="en-US" w:eastAsia="zh-CN"/>
              </w:rPr>
              <w:t>均为供应商自有的得8分，供应商提供的2台</w:t>
            </w:r>
            <w:r>
              <w:rPr>
                <w:rFonts w:hint="eastAsia" w:ascii="宋体" w:hAnsi="宋体" w:eastAsia="宋体" w:cs="宋体"/>
                <w:color w:val="auto"/>
                <w:sz w:val="24"/>
                <w:szCs w:val="24"/>
                <w:highlight w:val="none"/>
                <w:lang w:eastAsia="zh-CN"/>
              </w:rPr>
              <w:t>密闭式垃圾运输车</w:t>
            </w:r>
            <w:r>
              <w:rPr>
                <w:rFonts w:hint="eastAsia" w:ascii="宋体" w:hAnsi="宋体" w:eastAsia="宋体" w:cs="宋体"/>
                <w:color w:val="auto"/>
                <w:sz w:val="24"/>
                <w:szCs w:val="24"/>
                <w:highlight w:val="none"/>
                <w:lang w:val="en-US" w:eastAsia="zh-CN"/>
              </w:rPr>
              <w:t>为租赁的得6分，本项最高分为8分；</w:t>
            </w:r>
            <w:r>
              <w:rPr>
                <w:rFonts w:hint="eastAsia" w:ascii="宋体" w:hAnsi="宋体" w:eastAsia="宋体" w:cs="宋体"/>
                <w:color w:val="auto"/>
                <w:sz w:val="24"/>
                <w:szCs w:val="24"/>
                <w:highlight w:val="none"/>
                <w:lang w:eastAsia="zh-CN"/>
              </w:rPr>
              <w:t>（自有车辆：提供车辆行驶证、车辆照片及车辆全额保险（必须含交强险、第三者责任险）</w:t>
            </w:r>
            <w:r>
              <w:rPr>
                <w:rFonts w:hint="eastAsia" w:ascii="宋体" w:hAnsi="宋体" w:eastAsia="宋体" w:cs="宋体"/>
                <w:color w:val="auto"/>
                <w:sz w:val="24"/>
                <w:szCs w:val="24"/>
                <w:highlight w:val="none"/>
                <w:lang w:val="en-US" w:eastAsia="zh-CN"/>
              </w:rPr>
              <w:t>单</w:t>
            </w:r>
            <w:r>
              <w:rPr>
                <w:rFonts w:hint="eastAsia" w:ascii="宋体" w:hAnsi="宋体" w:eastAsia="宋体" w:cs="宋体"/>
                <w:color w:val="auto"/>
                <w:sz w:val="24"/>
                <w:szCs w:val="24"/>
                <w:highlight w:val="none"/>
                <w:lang w:eastAsia="zh-CN"/>
              </w:rPr>
              <w:t>复印件加盖</w:t>
            </w:r>
            <w:r>
              <w:rPr>
                <w:rFonts w:hint="eastAsia" w:ascii="宋体" w:hAnsi="宋体" w:cs="宋体"/>
                <w:color w:val="auto"/>
                <w:sz w:val="24"/>
                <w:szCs w:val="24"/>
                <w:highlight w:val="none"/>
                <w:lang w:eastAsia="zh-CN"/>
              </w:rPr>
              <w:t>供应商</w:t>
            </w:r>
            <w:r>
              <w:rPr>
                <w:rFonts w:hint="eastAsia" w:ascii="宋体" w:hAnsi="宋体" w:eastAsia="宋体" w:cs="宋体"/>
                <w:color w:val="auto"/>
                <w:sz w:val="24"/>
                <w:szCs w:val="24"/>
                <w:highlight w:val="none"/>
                <w:lang w:eastAsia="zh-CN"/>
              </w:rPr>
              <w:t>公章；租赁车辆：提供租赁合同、车辆行驶证、车辆照片、</w:t>
            </w:r>
            <w:r>
              <w:rPr>
                <w:rFonts w:hint="eastAsia" w:ascii="宋体" w:hAnsi="宋体" w:eastAsia="宋体" w:cs="宋体"/>
                <w:color w:val="auto"/>
                <w:sz w:val="24"/>
                <w:szCs w:val="24"/>
                <w:highlight w:val="none"/>
                <w:lang w:val="en-US" w:eastAsia="zh-CN"/>
              </w:rPr>
              <w:t>保险单</w:t>
            </w:r>
            <w:r>
              <w:rPr>
                <w:rFonts w:hint="eastAsia" w:ascii="宋体" w:hAnsi="宋体" w:eastAsia="宋体" w:cs="宋体"/>
                <w:color w:val="auto"/>
                <w:sz w:val="24"/>
                <w:szCs w:val="24"/>
                <w:highlight w:val="none"/>
                <w:lang w:eastAsia="zh-CN"/>
              </w:rPr>
              <w:t>等复印件加盖</w:t>
            </w:r>
            <w:r>
              <w:rPr>
                <w:rFonts w:hint="eastAsia" w:ascii="宋体" w:hAnsi="宋体" w:cs="宋体"/>
                <w:color w:val="auto"/>
                <w:sz w:val="24"/>
                <w:szCs w:val="24"/>
                <w:highlight w:val="none"/>
                <w:lang w:eastAsia="zh-CN"/>
              </w:rPr>
              <w:t>供应商</w:t>
            </w:r>
            <w:r>
              <w:rPr>
                <w:rFonts w:hint="eastAsia" w:ascii="宋体" w:hAnsi="宋体" w:eastAsia="宋体" w:cs="宋体"/>
                <w:color w:val="auto"/>
                <w:sz w:val="24"/>
                <w:szCs w:val="24"/>
                <w:highlight w:val="none"/>
                <w:lang w:eastAsia="zh-CN"/>
              </w:rPr>
              <w:t>公章。</w:t>
            </w:r>
            <w:r>
              <w:rPr>
                <w:rFonts w:hint="eastAsia" w:ascii="宋体" w:hAnsi="宋体" w:eastAsia="宋体" w:cs="宋体"/>
                <w:color w:val="auto"/>
                <w:sz w:val="24"/>
                <w:szCs w:val="24"/>
                <w:highlight w:val="none"/>
                <w:lang w:val="en-US" w:eastAsia="zh-CN"/>
              </w:rPr>
              <w:t>注：未能提供全部证明材料的不得分</w:t>
            </w:r>
            <w:r>
              <w:rPr>
                <w:rFonts w:hint="eastAsia" w:ascii="宋体" w:hAnsi="宋体" w:eastAsia="宋体" w:cs="宋体"/>
                <w:color w:val="auto"/>
                <w:sz w:val="24"/>
                <w:szCs w:val="24"/>
                <w:highlight w:val="none"/>
                <w:lang w:eastAsia="zh-CN"/>
              </w:rPr>
              <w:t>）。</w:t>
            </w:r>
          </w:p>
        </w:tc>
      </w:tr>
      <w:tr w14:paraId="3AB2A8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7" w:hRule="atLeast"/>
          <w:jc w:val="center"/>
        </w:trPr>
        <w:tc>
          <w:tcPr>
            <w:tcW w:w="472" w:type="dxa"/>
            <w:vMerge w:val="restart"/>
            <w:noWrap w:val="0"/>
            <w:vAlign w:val="center"/>
          </w:tcPr>
          <w:p w14:paraId="5224D38E">
            <w:pPr>
              <w:keepNext w:val="0"/>
              <w:keepLines w:val="0"/>
              <w:pageBreakBefore w:val="0"/>
              <w:kinsoku/>
              <w:wordWrap/>
              <w:overflowPunct/>
              <w:topLinePunct w:val="0"/>
              <w:autoSpaceDE/>
              <w:autoSpaceDN/>
              <w:bidi w:val="0"/>
              <w:adjustRightInd/>
              <w:snapToGrid/>
              <w:spacing w:line="320" w:lineRule="exact"/>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技术评审</w:t>
            </w:r>
            <w:r>
              <w:rPr>
                <w:rFonts w:hint="eastAsia" w:ascii="宋体" w:hAnsi="宋体" w:cs="宋体"/>
                <w:color w:val="auto"/>
                <w:sz w:val="24"/>
                <w:szCs w:val="24"/>
                <w:highlight w:val="none"/>
                <w:lang w:val="en-US" w:eastAsia="zh-CN"/>
              </w:rPr>
              <w:t>50</w:t>
            </w:r>
            <w:r>
              <w:rPr>
                <w:rFonts w:hint="eastAsia" w:ascii="宋体" w:hAnsi="宋体" w:eastAsia="宋体" w:cs="宋体"/>
                <w:color w:val="auto"/>
                <w:sz w:val="24"/>
                <w:szCs w:val="24"/>
                <w:highlight w:val="none"/>
              </w:rPr>
              <w:t>分</w:t>
            </w:r>
          </w:p>
        </w:tc>
        <w:tc>
          <w:tcPr>
            <w:tcW w:w="729" w:type="dxa"/>
            <w:shd w:val="clear" w:color="auto" w:fill="auto"/>
            <w:noWrap w:val="0"/>
            <w:vAlign w:val="center"/>
          </w:tcPr>
          <w:p w14:paraId="08353BED">
            <w:pPr>
              <w:tabs>
                <w:tab w:val="left" w:pos="420"/>
                <w:tab w:val="left" w:pos="525"/>
                <w:tab w:val="left" w:pos="630"/>
                <w:tab w:val="left" w:pos="735"/>
              </w:tabs>
              <w:spacing w:line="410" w:lineRule="exact"/>
              <w:jc w:val="left"/>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lang w:eastAsia="zh-CN"/>
              </w:rPr>
              <w:t>作业方案</w:t>
            </w:r>
          </w:p>
        </w:tc>
        <w:tc>
          <w:tcPr>
            <w:tcW w:w="559" w:type="dxa"/>
            <w:shd w:val="clear" w:color="auto" w:fill="auto"/>
            <w:noWrap w:val="0"/>
            <w:vAlign w:val="center"/>
          </w:tcPr>
          <w:p w14:paraId="3E3E3DAF">
            <w:pPr>
              <w:tabs>
                <w:tab w:val="left" w:pos="420"/>
                <w:tab w:val="left" w:pos="525"/>
                <w:tab w:val="left" w:pos="630"/>
                <w:tab w:val="left" w:pos="735"/>
              </w:tabs>
              <w:spacing w:line="410" w:lineRule="exact"/>
              <w:jc w:val="left"/>
              <w:rPr>
                <w:rFonts w:hint="eastAsia" w:ascii="宋体" w:hAnsi="宋体" w:eastAsia="宋体" w:cs="宋体"/>
                <w:color w:val="auto"/>
                <w:kern w:val="2"/>
                <w:sz w:val="24"/>
                <w:szCs w:val="24"/>
                <w:highlight w:val="none"/>
                <w:lang w:val="en-US" w:eastAsia="zh-CN" w:bidi="ar-SA"/>
              </w:rPr>
            </w:pPr>
            <w:r>
              <w:rPr>
                <w:rFonts w:hint="eastAsia" w:ascii="宋体" w:hAnsi="宋体" w:cs="宋体"/>
                <w:color w:val="auto"/>
                <w:sz w:val="24"/>
                <w:szCs w:val="24"/>
                <w:highlight w:val="none"/>
                <w:lang w:val="en-US" w:eastAsia="zh-CN"/>
              </w:rPr>
              <w:t>9</w:t>
            </w:r>
            <w:r>
              <w:rPr>
                <w:rFonts w:hint="eastAsia" w:ascii="宋体" w:hAnsi="宋体" w:eastAsia="宋体" w:cs="宋体"/>
                <w:color w:val="auto"/>
                <w:sz w:val="24"/>
                <w:szCs w:val="24"/>
                <w:highlight w:val="none"/>
              </w:rPr>
              <w:t>分</w:t>
            </w:r>
          </w:p>
        </w:tc>
        <w:tc>
          <w:tcPr>
            <w:tcW w:w="7991" w:type="dxa"/>
            <w:shd w:val="clear" w:color="auto" w:fill="auto"/>
            <w:noWrap w:val="0"/>
            <w:vAlign w:val="center"/>
          </w:tcPr>
          <w:p w14:paraId="01593422">
            <w:pPr>
              <w:tabs>
                <w:tab w:val="left" w:pos="420"/>
                <w:tab w:val="left" w:pos="525"/>
                <w:tab w:val="left" w:pos="630"/>
                <w:tab w:val="left" w:pos="735"/>
              </w:tabs>
              <w:spacing w:line="410" w:lineRule="exact"/>
              <w:jc w:val="left"/>
              <w:rPr>
                <w:rFonts w:hint="eastAsia" w:ascii="宋体" w:hAnsi="宋体" w:cs="宋体"/>
                <w:color w:val="auto"/>
                <w:kern w:val="2"/>
                <w:sz w:val="24"/>
                <w:szCs w:val="24"/>
                <w:highlight w:val="none"/>
                <w:lang w:val="en-US" w:eastAsia="zh-CN" w:bidi="ar-SA"/>
              </w:rPr>
            </w:pPr>
            <w:r>
              <w:rPr>
                <w:rFonts w:hint="eastAsia" w:ascii="宋体" w:hAnsi="宋体" w:cs="宋体"/>
                <w:color w:val="auto"/>
                <w:kern w:val="2"/>
                <w:sz w:val="24"/>
                <w:szCs w:val="24"/>
                <w:highlight w:val="none"/>
                <w:lang w:val="en-US" w:eastAsia="zh-CN" w:bidi="ar-SA"/>
              </w:rPr>
              <w:t>一、评审内容</w:t>
            </w:r>
          </w:p>
          <w:p w14:paraId="4B91988C">
            <w:pPr>
              <w:tabs>
                <w:tab w:val="left" w:pos="420"/>
                <w:tab w:val="left" w:pos="525"/>
                <w:tab w:val="left" w:pos="630"/>
                <w:tab w:val="left" w:pos="735"/>
              </w:tabs>
              <w:spacing w:line="410" w:lineRule="exact"/>
              <w:jc w:val="left"/>
              <w:rPr>
                <w:rFonts w:hint="eastAsia" w:ascii="宋体" w:hAnsi="宋体" w:eastAsia="宋体" w:cs="宋体"/>
                <w:color w:val="auto"/>
                <w:kern w:val="2"/>
                <w:sz w:val="24"/>
                <w:szCs w:val="24"/>
                <w:highlight w:val="none"/>
                <w:lang w:val="en-US" w:eastAsia="zh-CN" w:bidi="ar-SA"/>
              </w:rPr>
            </w:pPr>
            <w:r>
              <w:rPr>
                <w:rFonts w:hint="eastAsia" w:ascii="宋体" w:hAnsi="宋体" w:cs="宋体"/>
                <w:color w:val="auto"/>
                <w:kern w:val="2"/>
                <w:sz w:val="24"/>
                <w:szCs w:val="24"/>
                <w:highlight w:val="none"/>
                <w:lang w:val="en-US" w:eastAsia="zh-CN" w:bidi="ar-SA"/>
              </w:rPr>
              <w:t>根据供应商提供的作业方案，内容包括但不限于：①垃圾转运实施方案（3分）；②</w:t>
            </w:r>
            <w:r>
              <w:rPr>
                <w:rFonts w:hint="eastAsia" w:ascii="宋体" w:hAnsi="宋体" w:eastAsia="宋体" w:cs="宋体"/>
                <w:color w:val="auto"/>
                <w:kern w:val="2"/>
                <w:sz w:val="24"/>
                <w:szCs w:val="24"/>
                <w:highlight w:val="none"/>
                <w:lang w:val="en-US" w:eastAsia="zh-CN" w:bidi="ar-SA"/>
              </w:rPr>
              <w:t>车辆设备、设施配备方案</w:t>
            </w:r>
            <w:r>
              <w:rPr>
                <w:rFonts w:hint="eastAsia" w:ascii="宋体" w:hAnsi="宋体" w:cs="宋体"/>
                <w:color w:val="auto"/>
                <w:kern w:val="2"/>
                <w:sz w:val="24"/>
                <w:szCs w:val="24"/>
                <w:highlight w:val="none"/>
                <w:lang w:val="en-US" w:eastAsia="zh-CN" w:bidi="ar-SA"/>
              </w:rPr>
              <w:t>（3分）；③</w:t>
            </w:r>
            <w:r>
              <w:rPr>
                <w:rFonts w:hint="eastAsia" w:ascii="宋体" w:hAnsi="宋体" w:eastAsia="宋体" w:cs="宋体"/>
                <w:color w:val="auto"/>
                <w:kern w:val="2"/>
                <w:sz w:val="24"/>
                <w:szCs w:val="24"/>
                <w:highlight w:val="none"/>
                <w:lang w:val="en-US" w:eastAsia="zh-CN" w:bidi="ar-SA"/>
              </w:rPr>
              <w:t>建筑垃圾、大件垃圾清运及处置</w:t>
            </w:r>
            <w:r>
              <w:rPr>
                <w:rFonts w:hint="eastAsia" w:ascii="宋体" w:hAnsi="宋体" w:cs="宋体"/>
                <w:color w:val="auto"/>
                <w:kern w:val="2"/>
                <w:sz w:val="24"/>
                <w:szCs w:val="24"/>
                <w:highlight w:val="none"/>
                <w:lang w:val="en-US" w:eastAsia="zh-CN" w:bidi="ar-SA"/>
              </w:rPr>
              <w:t>（3分）。</w:t>
            </w:r>
          </w:p>
          <w:p w14:paraId="02221F31">
            <w:pPr>
              <w:tabs>
                <w:tab w:val="left" w:pos="420"/>
                <w:tab w:val="left" w:pos="525"/>
                <w:tab w:val="left" w:pos="630"/>
                <w:tab w:val="left" w:pos="735"/>
              </w:tabs>
              <w:spacing w:line="410" w:lineRule="exact"/>
              <w:jc w:val="left"/>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二、评审标准</w:t>
            </w:r>
          </w:p>
          <w:p w14:paraId="5D651362">
            <w:pPr>
              <w:tabs>
                <w:tab w:val="left" w:pos="420"/>
                <w:tab w:val="left" w:pos="525"/>
                <w:tab w:val="left" w:pos="630"/>
                <w:tab w:val="left" w:pos="735"/>
              </w:tabs>
              <w:spacing w:line="410" w:lineRule="exact"/>
              <w:jc w:val="left"/>
              <w:rPr>
                <w:rFonts w:hint="eastAsia" w:ascii="宋体" w:hAnsi="宋体" w:eastAsia="宋体" w:cs="宋体"/>
                <w:color w:val="auto"/>
                <w:kern w:val="2"/>
                <w:sz w:val="24"/>
                <w:szCs w:val="24"/>
                <w:highlight w:val="none"/>
                <w:lang w:val="en-US" w:eastAsia="zh-CN" w:bidi="ar-SA"/>
              </w:rPr>
            </w:pPr>
            <w:r>
              <w:rPr>
                <w:rFonts w:hint="eastAsia" w:ascii="宋体" w:hAnsi="宋体" w:cs="宋体"/>
                <w:color w:val="auto"/>
                <w:kern w:val="2"/>
                <w:sz w:val="24"/>
                <w:szCs w:val="24"/>
                <w:highlight w:val="none"/>
                <w:lang w:val="en-US" w:eastAsia="zh-CN" w:bidi="ar-SA"/>
              </w:rPr>
              <w:t>（1）</w:t>
            </w:r>
            <w:r>
              <w:rPr>
                <w:rFonts w:hint="eastAsia" w:ascii="宋体" w:hAnsi="宋体" w:eastAsia="宋体" w:cs="宋体"/>
                <w:color w:val="auto"/>
                <w:kern w:val="2"/>
                <w:sz w:val="24"/>
                <w:szCs w:val="24"/>
                <w:highlight w:val="none"/>
                <w:lang w:val="en-US" w:eastAsia="zh-CN" w:bidi="ar-SA"/>
              </w:rPr>
              <w:t>完整性：评审内容完整、方案要素齐全，有详细的理解和阐述；</w:t>
            </w:r>
          </w:p>
          <w:p w14:paraId="3FD54AAD">
            <w:pPr>
              <w:tabs>
                <w:tab w:val="left" w:pos="420"/>
                <w:tab w:val="left" w:pos="525"/>
                <w:tab w:val="left" w:pos="630"/>
                <w:tab w:val="left" w:pos="735"/>
              </w:tabs>
              <w:spacing w:line="410" w:lineRule="exact"/>
              <w:jc w:val="left"/>
              <w:rPr>
                <w:rFonts w:hint="eastAsia" w:ascii="宋体" w:hAnsi="宋体" w:eastAsia="宋体" w:cs="宋体"/>
                <w:color w:val="auto"/>
                <w:kern w:val="2"/>
                <w:sz w:val="24"/>
                <w:szCs w:val="24"/>
                <w:highlight w:val="none"/>
                <w:lang w:val="en-US" w:eastAsia="zh-CN" w:bidi="ar-SA"/>
              </w:rPr>
            </w:pPr>
            <w:r>
              <w:rPr>
                <w:rFonts w:hint="eastAsia" w:ascii="宋体" w:hAnsi="宋体" w:cs="宋体"/>
                <w:color w:val="auto"/>
                <w:kern w:val="2"/>
                <w:sz w:val="24"/>
                <w:szCs w:val="24"/>
                <w:highlight w:val="none"/>
                <w:lang w:val="en-US" w:eastAsia="zh-CN" w:bidi="ar-SA"/>
              </w:rPr>
              <w:t>（2）</w:t>
            </w:r>
            <w:r>
              <w:rPr>
                <w:rFonts w:hint="eastAsia" w:ascii="宋体" w:hAnsi="宋体" w:eastAsia="宋体" w:cs="宋体"/>
                <w:color w:val="auto"/>
                <w:kern w:val="2"/>
                <w:sz w:val="24"/>
                <w:szCs w:val="24"/>
                <w:highlight w:val="none"/>
                <w:lang w:val="en-US" w:eastAsia="zh-CN" w:bidi="ar-SA"/>
              </w:rPr>
              <w:t>合理性：总体思路清晰，服务方案逻辑严谨，能够准确把握项目的目的、意图和需求，可行性高；</w:t>
            </w:r>
          </w:p>
          <w:p w14:paraId="78D4F72E">
            <w:pPr>
              <w:tabs>
                <w:tab w:val="left" w:pos="420"/>
                <w:tab w:val="left" w:pos="525"/>
                <w:tab w:val="left" w:pos="630"/>
                <w:tab w:val="left" w:pos="735"/>
              </w:tabs>
              <w:spacing w:line="410" w:lineRule="exact"/>
              <w:jc w:val="left"/>
              <w:rPr>
                <w:rFonts w:hint="eastAsia" w:ascii="宋体" w:hAnsi="宋体" w:eastAsia="宋体" w:cs="宋体"/>
                <w:color w:val="auto"/>
                <w:kern w:val="2"/>
                <w:sz w:val="24"/>
                <w:szCs w:val="24"/>
                <w:highlight w:val="none"/>
                <w:lang w:val="en-US" w:eastAsia="zh-CN" w:bidi="ar-SA"/>
              </w:rPr>
            </w:pPr>
            <w:r>
              <w:rPr>
                <w:rFonts w:hint="eastAsia" w:ascii="宋体" w:hAnsi="宋体" w:cs="宋体"/>
                <w:color w:val="auto"/>
                <w:kern w:val="2"/>
                <w:sz w:val="24"/>
                <w:szCs w:val="24"/>
                <w:highlight w:val="none"/>
                <w:lang w:val="en-US" w:eastAsia="zh-CN" w:bidi="ar-SA"/>
              </w:rPr>
              <w:t>（3）</w:t>
            </w:r>
            <w:r>
              <w:rPr>
                <w:rFonts w:hint="eastAsia" w:ascii="宋体" w:hAnsi="宋体" w:eastAsia="宋体" w:cs="宋体"/>
                <w:color w:val="auto"/>
                <w:kern w:val="2"/>
                <w:sz w:val="24"/>
                <w:szCs w:val="24"/>
                <w:highlight w:val="none"/>
                <w:lang w:val="en-US" w:eastAsia="zh-CN" w:bidi="ar-SA"/>
              </w:rPr>
              <w:t>针对性：符合本项目实际情况，可操作性强，有实用性、有针对性；</w:t>
            </w:r>
          </w:p>
          <w:p w14:paraId="0E1D9389">
            <w:pPr>
              <w:tabs>
                <w:tab w:val="left" w:pos="420"/>
                <w:tab w:val="left" w:pos="525"/>
                <w:tab w:val="left" w:pos="630"/>
                <w:tab w:val="left" w:pos="735"/>
              </w:tabs>
              <w:spacing w:line="410" w:lineRule="exact"/>
              <w:jc w:val="left"/>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对上述</w:t>
            </w:r>
            <w:r>
              <w:rPr>
                <w:rFonts w:hint="eastAsia" w:ascii="宋体" w:hAnsi="宋体" w:cs="宋体"/>
                <w:color w:val="auto"/>
                <w:kern w:val="2"/>
                <w:sz w:val="24"/>
                <w:szCs w:val="24"/>
                <w:highlight w:val="none"/>
                <w:lang w:val="en-US" w:eastAsia="zh-CN" w:bidi="ar-SA"/>
              </w:rPr>
              <w:t>3</w:t>
            </w:r>
            <w:r>
              <w:rPr>
                <w:rFonts w:hint="eastAsia" w:ascii="宋体" w:hAnsi="宋体" w:eastAsia="宋体" w:cs="宋体"/>
                <w:color w:val="auto"/>
                <w:kern w:val="2"/>
                <w:sz w:val="24"/>
                <w:szCs w:val="24"/>
                <w:highlight w:val="none"/>
                <w:lang w:val="en-US" w:eastAsia="zh-CN" w:bidi="ar-SA"/>
              </w:rPr>
              <w:t>项评审内容进行打分，每项评审内容完全满足3项评审标准的得</w:t>
            </w:r>
            <w:r>
              <w:rPr>
                <w:rFonts w:hint="eastAsia" w:ascii="宋体" w:hAnsi="宋体" w:cs="宋体"/>
                <w:color w:val="auto"/>
                <w:kern w:val="2"/>
                <w:sz w:val="24"/>
                <w:szCs w:val="24"/>
                <w:highlight w:val="none"/>
                <w:lang w:val="en-US" w:eastAsia="zh-CN" w:bidi="ar-SA"/>
              </w:rPr>
              <w:t>3</w:t>
            </w:r>
            <w:r>
              <w:rPr>
                <w:rFonts w:hint="eastAsia" w:ascii="宋体" w:hAnsi="宋体" w:eastAsia="宋体" w:cs="宋体"/>
                <w:color w:val="auto"/>
                <w:kern w:val="2"/>
                <w:sz w:val="24"/>
                <w:szCs w:val="24"/>
                <w:highlight w:val="none"/>
                <w:lang w:val="en-US" w:eastAsia="zh-CN" w:bidi="ar-SA"/>
              </w:rPr>
              <w:t>分，满足2项的得</w:t>
            </w:r>
            <w:r>
              <w:rPr>
                <w:rFonts w:hint="eastAsia" w:ascii="宋体" w:hAnsi="宋体" w:cs="宋体"/>
                <w:color w:val="auto"/>
                <w:kern w:val="2"/>
                <w:sz w:val="24"/>
                <w:szCs w:val="24"/>
                <w:highlight w:val="none"/>
                <w:lang w:val="en-US" w:eastAsia="zh-CN" w:bidi="ar-SA"/>
              </w:rPr>
              <w:t>2</w:t>
            </w:r>
            <w:r>
              <w:rPr>
                <w:rFonts w:hint="eastAsia" w:ascii="宋体" w:hAnsi="宋体" w:eastAsia="宋体" w:cs="宋体"/>
                <w:color w:val="auto"/>
                <w:kern w:val="2"/>
                <w:sz w:val="24"/>
                <w:szCs w:val="24"/>
                <w:highlight w:val="none"/>
                <w:lang w:val="en-US" w:eastAsia="zh-CN" w:bidi="ar-SA"/>
              </w:rPr>
              <w:t>分，满足1项的得</w:t>
            </w:r>
            <w:r>
              <w:rPr>
                <w:rFonts w:hint="eastAsia" w:ascii="宋体" w:hAnsi="宋体" w:cs="宋体"/>
                <w:color w:val="auto"/>
                <w:kern w:val="2"/>
                <w:sz w:val="24"/>
                <w:szCs w:val="24"/>
                <w:highlight w:val="none"/>
                <w:lang w:val="en-US" w:eastAsia="zh-CN" w:bidi="ar-SA"/>
              </w:rPr>
              <w:t>1</w:t>
            </w:r>
            <w:r>
              <w:rPr>
                <w:rFonts w:hint="eastAsia" w:ascii="宋体" w:hAnsi="宋体" w:eastAsia="宋体" w:cs="宋体"/>
                <w:color w:val="auto"/>
                <w:kern w:val="2"/>
                <w:sz w:val="24"/>
                <w:szCs w:val="24"/>
                <w:highlight w:val="none"/>
                <w:lang w:val="en-US" w:eastAsia="zh-CN" w:bidi="ar-SA"/>
              </w:rPr>
              <w:t>分，其他情况不得分。</w:t>
            </w:r>
          </w:p>
        </w:tc>
      </w:tr>
      <w:tr w14:paraId="51A4E1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7" w:hRule="atLeast"/>
          <w:jc w:val="center"/>
        </w:trPr>
        <w:tc>
          <w:tcPr>
            <w:tcW w:w="472" w:type="dxa"/>
            <w:vMerge w:val="continue"/>
            <w:noWrap w:val="0"/>
            <w:vAlign w:val="center"/>
          </w:tcPr>
          <w:p w14:paraId="514A8E31">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color w:val="auto"/>
                <w:sz w:val="24"/>
                <w:szCs w:val="24"/>
                <w:highlight w:val="none"/>
              </w:rPr>
            </w:pPr>
          </w:p>
        </w:tc>
        <w:tc>
          <w:tcPr>
            <w:tcW w:w="729" w:type="dxa"/>
            <w:shd w:val="clear" w:color="auto" w:fill="auto"/>
            <w:noWrap w:val="0"/>
            <w:vAlign w:val="center"/>
          </w:tcPr>
          <w:p w14:paraId="2A4A3D13">
            <w:pPr>
              <w:tabs>
                <w:tab w:val="left" w:pos="420"/>
                <w:tab w:val="left" w:pos="525"/>
                <w:tab w:val="left" w:pos="630"/>
                <w:tab w:val="left" w:pos="735"/>
              </w:tabs>
              <w:spacing w:line="410" w:lineRule="exact"/>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lang w:eastAsia="zh-CN"/>
              </w:rPr>
              <w:t>服务工作建议</w:t>
            </w:r>
          </w:p>
        </w:tc>
        <w:tc>
          <w:tcPr>
            <w:tcW w:w="559" w:type="dxa"/>
            <w:shd w:val="clear" w:color="auto" w:fill="auto"/>
            <w:noWrap w:val="0"/>
            <w:vAlign w:val="center"/>
          </w:tcPr>
          <w:p w14:paraId="4C9A3AA2">
            <w:pPr>
              <w:tabs>
                <w:tab w:val="left" w:pos="420"/>
                <w:tab w:val="left" w:pos="525"/>
                <w:tab w:val="left" w:pos="630"/>
                <w:tab w:val="left" w:pos="735"/>
              </w:tabs>
              <w:spacing w:line="410" w:lineRule="exact"/>
              <w:rPr>
                <w:rFonts w:hint="eastAsia" w:ascii="宋体" w:hAnsi="宋体" w:eastAsia="宋体" w:cs="宋体"/>
                <w:color w:val="auto"/>
                <w:kern w:val="2"/>
                <w:sz w:val="24"/>
                <w:szCs w:val="24"/>
                <w:highlight w:val="none"/>
                <w:lang w:val="en-US" w:eastAsia="zh-CN" w:bidi="ar-SA"/>
              </w:rPr>
            </w:pPr>
            <w:r>
              <w:rPr>
                <w:rFonts w:hint="eastAsia" w:ascii="宋体" w:hAnsi="宋体" w:cs="宋体"/>
                <w:color w:val="auto"/>
                <w:sz w:val="24"/>
                <w:szCs w:val="24"/>
                <w:highlight w:val="none"/>
                <w:lang w:val="en-US" w:eastAsia="zh-CN"/>
              </w:rPr>
              <w:t>3</w:t>
            </w:r>
            <w:r>
              <w:rPr>
                <w:rFonts w:hint="eastAsia" w:ascii="宋体" w:hAnsi="宋体" w:eastAsia="宋体" w:cs="宋体"/>
                <w:color w:val="auto"/>
                <w:sz w:val="24"/>
                <w:szCs w:val="24"/>
                <w:highlight w:val="none"/>
              </w:rPr>
              <w:t>分</w:t>
            </w:r>
          </w:p>
        </w:tc>
        <w:tc>
          <w:tcPr>
            <w:tcW w:w="7991" w:type="dxa"/>
            <w:shd w:val="clear" w:color="auto" w:fill="auto"/>
            <w:noWrap w:val="0"/>
            <w:vAlign w:val="center"/>
          </w:tcPr>
          <w:p w14:paraId="2C9E006E">
            <w:pPr>
              <w:tabs>
                <w:tab w:val="left" w:pos="420"/>
                <w:tab w:val="left" w:pos="525"/>
                <w:tab w:val="left" w:pos="630"/>
                <w:tab w:val="left" w:pos="735"/>
              </w:tabs>
              <w:spacing w:line="410" w:lineRule="exact"/>
              <w:rPr>
                <w:rFonts w:hint="eastAsia" w:ascii="宋体" w:hAnsi="宋体" w:cs="宋体"/>
                <w:color w:val="auto"/>
                <w:kern w:val="2"/>
                <w:sz w:val="24"/>
                <w:szCs w:val="24"/>
                <w:highlight w:val="none"/>
                <w:lang w:val="en-US" w:eastAsia="zh-CN" w:bidi="ar-SA"/>
              </w:rPr>
            </w:pPr>
            <w:r>
              <w:rPr>
                <w:rFonts w:hint="eastAsia" w:ascii="宋体" w:hAnsi="宋体" w:cs="宋体"/>
                <w:color w:val="auto"/>
                <w:kern w:val="2"/>
                <w:sz w:val="24"/>
                <w:szCs w:val="24"/>
                <w:highlight w:val="none"/>
                <w:lang w:val="en-US" w:eastAsia="zh-CN" w:bidi="ar-SA"/>
              </w:rPr>
              <w:t>一、评审内容</w:t>
            </w:r>
          </w:p>
          <w:p w14:paraId="361AF752">
            <w:pPr>
              <w:tabs>
                <w:tab w:val="left" w:pos="420"/>
                <w:tab w:val="left" w:pos="525"/>
                <w:tab w:val="left" w:pos="630"/>
                <w:tab w:val="left" w:pos="735"/>
              </w:tabs>
              <w:spacing w:line="410" w:lineRule="exact"/>
              <w:rPr>
                <w:rFonts w:hint="eastAsia" w:ascii="宋体" w:hAnsi="宋体" w:eastAsia="宋体" w:cs="宋体"/>
                <w:color w:val="auto"/>
                <w:kern w:val="2"/>
                <w:sz w:val="24"/>
                <w:szCs w:val="24"/>
                <w:highlight w:val="none"/>
                <w:lang w:val="en-US" w:eastAsia="zh-CN" w:bidi="ar-SA"/>
              </w:rPr>
            </w:pPr>
            <w:r>
              <w:rPr>
                <w:rFonts w:hint="eastAsia" w:ascii="宋体" w:hAnsi="宋体" w:cs="宋体"/>
                <w:color w:val="auto"/>
                <w:sz w:val="24"/>
                <w:szCs w:val="24"/>
                <w:highlight w:val="none"/>
                <w:lang w:eastAsia="zh-CN"/>
              </w:rPr>
              <w:t>根据</w:t>
            </w:r>
            <w:r>
              <w:rPr>
                <w:rFonts w:hint="eastAsia" w:ascii="宋体" w:hAnsi="宋体" w:eastAsia="宋体" w:cs="宋体"/>
                <w:color w:val="auto"/>
                <w:sz w:val="24"/>
                <w:szCs w:val="24"/>
                <w:highlight w:val="none"/>
              </w:rPr>
              <w:t>供应商</w:t>
            </w:r>
            <w:r>
              <w:rPr>
                <w:rFonts w:hint="eastAsia" w:ascii="宋体" w:hAnsi="宋体" w:cs="宋体"/>
                <w:color w:val="auto"/>
                <w:sz w:val="24"/>
                <w:szCs w:val="24"/>
                <w:highlight w:val="none"/>
                <w:lang w:eastAsia="zh-CN"/>
              </w:rPr>
              <w:t>针</w:t>
            </w:r>
            <w:r>
              <w:rPr>
                <w:rFonts w:hint="eastAsia" w:ascii="宋体" w:hAnsi="宋体" w:eastAsia="宋体" w:cs="宋体"/>
                <w:color w:val="auto"/>
                <w:sz w:val="24"/>
                <w:szCs w:val="24"/>
                <w:highlight w:val="none"/>
              </w:rPr>
              <w:t>对本项目重点难点的服务工作给出合理化建议</w:t>
            </w:r>
            <w:r>
              <w:rPr>
                <w:rFonts w:hint="eastAsia" w:ascii="宋体" w:hAnsi="宋体" w:cs="宋体"/>
                <w:color w:val="auto"/>
                <w:sz w:val="24"/>
                <w:szCs w:val="24"/>
                <w:highlight w:val="none"/>
                <w:lang w:eastAsia="zh-CN"/>
              </w:rPr>
              <w:t>进行评审（</w:t>
            </w:r>
            <w:r>
              <w:rPr>
                <w:rFonts w:hint="eastAsia" w:ascii="宋体" w:hAnsi="宋体" w:cs="宋体"/>
                <w:color w:val="auto"/>
                <w:sz w:val="24"/>
                <w:szCs w:val="24"/>
                <w:highlight w:val="none"/>
                <w:lang w:val="en-US" w:eastAsia="zh-CN"/>
              </w:rPr>
              <w:t>3分</w:t>
            </w:r>
            <w:r>
              <w:rPr>
                <w:rFonts w:hint="eastAsia" w:ascii="宋体" w:hAnsi="宋体" w:cs="宋体"/>
                <w:color w:val="auto"/>
                <w:sz w:val="24"/>
                <w:szCs w:val="24"/>
                <w:highlight w:val="none"/>
                <w:lang w:eastAsia="zh-CN"/>
              </w:rPr>
              <w:t>）</w:t>
            </w:r>
            <w:r>
              <w:rPr>
                <w:rFonts w:hint="eastAsia" w:ascii="宋体" w:hAnsi="宋体" w:cs="宋体"/>
                <w:color w:val="auto"/>
                <w:kern w:val="2"/>
                <w:sz w:val="24"/>
                <w:szCs w:val="24"/>
                <w:highlight w:val="none"/>
                <w:lang w:val="en-US" w:eastAsia="zh-CN" w:bidi="ar-SA"/>
              </w:rPr>
              <w:t>。</w:t>
            </w:r>
          </w:p>
          <w:p w14:paraId="569DDEF2">
            <w:pPr>
              <w:tabs>
                <w:tab w:val="left" w:pos="420"/>
                <w:tab w:val="left" w:pos="525"/>
                <w:tab w:val="left" w:pos="630"/>
                <w:tab w:val="left" w:pos="735"/>
              </w:tabs>
              <w:spacing w:line="410" w:lineRule="exact"/>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二、评审标准</w:t>
            </w:r>
          </w:p>
          <w:p w14:paraId="0C26052F">
            <w:pPr>
              <w:tabs>
                <w:tab w:val="left" w:pos="420"/>
                <w:tab w:val="left" w:pos="525"/>
                <w:tab w:val="left" w:pos="630"/>
                <w:tab w:val="left" w:pos="735"/>
              </w:tabs>
              <w:spacing w:line="410" w:lineRule="exact"/>
              <w:rPr>
                <w:rFonts w:hint="eastAsia" w:ascii="宋体" w:hAnsi="宋体" w:eastAsia="宋体" w:cs="宋体"/>
                <w:color w:val="auto"/>
                <w:kern w:val="2"/>
                <w:sz w:val="24"/>
                <w:szCs w:val="24"/>
                <w:highlight w:val="none"/>
                <w:lang w:val="en-US" w:eastAsia="zh-CN" w:bidi="ar-SA"/>
              </w:rPr>
            </w:pPr>
            <w:r>
              <w:rPr>
                <w:rFonts w:hint="eastAsia" w:ascii="宋体" w:hAnsi="宋体" w:cs="宋体"/>
                <w:color w:val="auto"/>
                <w:kern w:val="2"/>
                <w:sz w:val="24"/>
                <w:szCs w:val="24"/>
                <w:highlight w:val="none"/>
                <w:lang w:val="en-US" w:eastAsia="zh-CN" w:bidi="ar-SA"/>
              </w:rPr>
              <w:t>（1）</w:t>
            </w:r>
            <w:r>
              <w:rPr>
                <w:rFonts w:hint="eastAsia" w:ascii="宋体" w:hAnsi="宋体" w:eastAsia="宋体" w:cs="宋体"/>
                <w:color w:val="auto"/>
                <w:kern w:val="2"/>
                <w:sz w:val="24"/>
                <w:szCs w:val="24"/>
                <w:highlight w:val="none"/>
                <w:lang w:val="en-US" w:eastAsia="zh-CN" w:bidi="ar-SA"/>
              </w:rPr>
              <w:t>完整性：评审内容完整、方案要素齐全，有详细的理解和阐述；</w:t>
            </w:r>
          </w:p>
          <w:p w14:paraId="04F7A87D">
            <w:pPr>
              <w:tabs>
                <w:tab w:val="left" w:pos="420"/>
                <w:tab w:val="left" w:pos="525"/>
                <w:tab w:val="left" w:pos="630"/>
                <w:tab w:val="left" w:pos="735"/>
              </w:tabs>
              <w:spacing w:line="410" w:lineRule="exact"/>
              <w:rPr>
                <w:rFonts w:hint="eastAsia" w:ascii="宋体" w:hAnsi="宋体" w:eastAsia="宋体" w:cs="宋体"/>
                <w:color w:val="auto"/>
                <w:kern w:val="2"/>
                <w:sz w:val="24"/>
                <w:szCs w:val="24"/>
                <w:highlight w:val="none"/>
                <w:lang w:val="en-US" w:eastAsia="zh-CN" w:bidi="ar-SA"/>
              </w:rPr>
            </w:pPr>
            <w:r>
              <w:rPr>
                <w:rFonts w:hint="eastAsia" w:ascii="宋体" w:hAnsi="宋体" w:cs="宋体"/>
                <w:color w:val="auto"/>
                <w:kern w:val="2"/>
                <w:sz w:val="24"/>
                <w:szCs w:val="24"/>
                <w:highlight w:val="none"/>
                <w:lang w:val="en-US" w:eastAsia="zh-CN" w:bidi="ar-SA"/>
              </w:rPr>
              <w:t>（2）</w:t>
            </w:r>
            <w:r>
              <w:rPr>
                <w:rFonts w:hint="eastAsia" w:ascii="宋体" w:hAnsi="宋体" w:eastAsia="宋体" w:cs="宋体"/>
                <w:color w:val="auto"/>
                <w:kern w:val="2"/>
                <w:sz w:val="24"/>
                <w:szCs w:val="24"/>
                <w:highlight w:val="none"/>
                <w:lang w:val="en-US" w:eastAsia="zh-CN" w:bidi="ar-SA"/>
              </w:rPr>
              <w:t>合理性：总体思路清晰，服务方案逻辑严谨，能够准确把握项目的目的、意图和需求，可行性高；</w:t>
            </w:r>
          </w:p>
          <w:p w14:paraId="22C90350">
            <w:pPr>
              <w:tabs>
                <w:tab w:val="left" w:pos="420"/>
                <w:tab w:val="left" w:pos="525"/>
                <w:tab w:val="left" w:pos="630"/>
                <w:tab w:val="left" w:pos="735"/>
              </w:tabs>
              <w:spacing w:line="410" w:lineRule="exact"/>
              <w:rPr>
                <w:rFonts w:hint="eastAsia" w:ascii="宋体" w:hAnsi="宋体" w:eastAsia="宋体" w:cs="宋体"/>
                <w:color w:val="auto"/>
                <w:kern w:val="2"/>
                <w:sz w:val="24"/>
                <w:szCs w:val="24"/>
                <w:highlight w:val="none"/>
                <w:lang w:val="en-US" w:eastAsia="zh-CN" w:bidi="ar-SA"/>
              </w:rPr>
            </w:pPr>
            <w:r>
              <w:rPr>
                <w:rFonts w:hint="eastAsia" w:ascii="宋体" w:hAnsi="宋体" w:cs="宋体"/>
                <w:color w:val="auto"/>
                <w:kern w:val="2"/>
                <w:sz w:val="24"/>
                <w:szCs w:val="24"/>
                <w:highlight w:val="none"/>
                <w:lang w:val="en-US" w:eastAsia="zh-CN" w:bidi="ar-SA"/>
              </w:rPr>
              <w:t>（3）</w:t>
            </w:r>
            <w:r>
              <w:rPr>
                <w:rFonts w:hint="eastAsia" w:ascii="宋体" w:hAnsi="宋体" w:eastAsia="宋体" w:cs="宋体"/>
                <w:color w:val="auto"/>
                <w:kern w:val="2"/>
                <w:sz w:val="24"/>
                <w:szCs w:val="24"/>
                <w:highlight w:val="none"/>
                <w:lang w:val="en-US" w:eastAsia="zh-CN" w:bidi="ar-SA"/>
              </w:rPr>
              <w:t>针对性：符合本项目实际情况，可操作性强，有实用性、有针对性；</w:t>
            </w:r>
          </w:p>
          <w:p w14:paraId="5A85A4F6">
            <w:pPr>
              <w:tabs>
                <w:tab w:val="left" w:pos="420"/>
                <w:tab w:val="left" w:pos="525"/>
                <w:tab w:val="left" w:pos="630"/>
                <w:tab w:val="left" w:pos="735"/>
              </w:tabs>
              <w:spacing w:line="410" w:lineRule="exact"/>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对上述</w:t>
            </w:r>
            <w:r>
              <w:rPr>
                <w:rFonts w:hint="eastAsia" w:ascii="宋体" w:hAnsi="宋体" w:cs="宋体"/>
                <w:color w:val="auto"/>
                <w:kern w:val="2"/>
                <w:sz w:val="24"/>
                <w:szCs w:val="24"/>
                <w:highlight w:val="none"/>
                <w:lang w:val="en-US" w:eastAsia="zh-CN" w:bidi="ar-SA"/>
              </w:rPr>
              <w:t>1</w:t>
            </w:r>
            <w:r>
              <w:rPr>
                <w:rFonts w:hint="eastAsia" w:ascii="宋体" w:hAnsi="宋体" w:eastAsia="宋体" w:cs="宋体"/>
                <w:color w:val="auto"/>
                <w:kern w:val="2"/>
                <w:sz w:val="24"/>
                <w:szCs w:val="24"/>
                <w:highlight w:val="none"/>
                <w:lang w:val="en-US" w:eastAsia="zh-CN" w:bidi="ar-SA"/>
              </w:rPr>
              <w:t>项评审内容进行打分，每项评审内容完全满足3项评审标准的得</w:t>
            </w:r>
            <w:r>
              <w:rPr>
                <w:rFonts w:hint="eastAsia" w:ascii="宋体" w:hAnsi="宋体" w:cs="宋体"/>
                <w:color w:val="auto"/>
                <w:kern w:val="2"/>
                <w:sz w:val="24"/>
                <w:szCs w:val="24"/>
                <w:highlight w:val="none"/>
                <w:lang w:val="en-US" w:eastAsia="zh-CN" w:bidi="ar-SA"/>
              </w:rPr>
              <w:t>3</w:t>
            </w:r>
            <w:r>
              <w:rPr>
                <w:rFonts w:hint="eastAsia" w:ascii="宋体" w:hAnsi="宋体" w:eastAsia="宋体" w:cs="宋体"/>
                <w:color w:val="auto"/>
                <w:kern w:val="2"/>
                <w:sz w:val="24"/>
                <w:szCs w:val="24"/>
                <w:highlight w:val="none"/>
                <w:lang w:val="en-US" w:eastAsia="zh-CN" w:bidi="ar-SA"/>
              </w:rPr>
              <w:t>分，满足2项的得</w:t>
            </w:r>
            <w:r>
              <w:rPr>
                <w:rFonts w:hint="eastAsia" w:ascii="宋体" w:hAnsi="宋体" w:cs="宋体"/>
                <w:color w:val="auto"/>
                <w:kern w:val="2"/>
                <w:sz w:val="24"/>
                <w:szCs w:val="24"/>
                <w:highlight w:val="none"/>
                <w:lang w:val="en-US" w:eastAsia="zh-CN" w:bidi="ar-SA"/>
              </w:rPr>
              <w:t>2</w:t>
            </w:r>
            <w:r>
              <w:rPr>
                <w:rFonts w:hint="eastAsia" w:ascii="宋体" w:hAnsi="宋体" w:eastAsia="宋体" w:cs="宋体"/>
                <w:color w:val="auto"/>
                <w:kern w:val="2"/>
                <w:sz w:val="24"/>
                <w:szCs w:val="24"/>
                <w:highlight w:val="none"/>
                <w:lang w:val="en-US" w:eastAsia="zh-CN" w:bidi="ar-SA"/>
              </w:rPr>
              <w:t>分，满足1项的得</w:t>
            </w:r>
            <w:r>
              <w:rPr>
                <w:rFonts w:hint="eastAsia" w:ascii="宋体" w:hAnsi="宋体" w:cs="宋体"/>
                <w:color w:val="auto"/>
                <w:kern w:val="2"/>
                <w:sz w:val="24"/>
                <w:szCs w:val="24"/>
                <w:highlight w:val="none"/>
                <w:lang w:val="en-US" w:eastAsia="zh-CN" w:bidi="ar-SA"/>
              </w:rPr>
              <w:t>1</w:t>
            </w:r>
            <w:r>
              <w:rPr>
                <w:rFonts w:hint="eastAsia" w:ascii="宋体" w:hAnsi="宋体" w:eastAsia="宋体" w:cs="宋体"/>
                <w:color w:val="auto"/>
                <w:kern w:val="2"/>
                <w:sz w:val="24"/>
                <w:szCs w:val="24"/>
                <w:highlight w:val="none"/>
                <w:lang w:val="en-US" w:eastAsia="zh-CN" w:bidi="ar-SA"/>
              </w:rPr>
              <w:t>分，其他情况不得分。</w:t>
            </w:r>
          </w:p>
        </w:tc>
      </w:tr>
      <w:tr w14:paraId="1F528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472" w:type="dxa"/>
            <w:vMerge w:val="continue"/>
            <w:noWrap w:val="0"/>
            <w:vAlign w:val="center"/>
          </w:tcPr>
          <w:p w14:paraId="642F3139">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color w:val="auto"/>
                <w:sz w:val="24"/>
                <w:szCs w:val="24"/>
                <w:highlight w:val="none"/>
              </w:rPr>
            </w:pPr>
          </w:p>
        </w:tc>
        <w:tc>
          <w:tcPr>
            <w:tcW w:w="729" w:type="dxa"/>
            <w:shd w:val="clear" w:color="auto" w:fill="auto"/>
            <w:noWrap w:val="0"/>
            <w:vAlign w:val="center"/>
          </w:tcPr>
          <w:p w14:paraId="66AB707F">
            <w:pPr>
              <w:tabs>
                <w:tab w:val="left" w:pos="420"/>
                <w:tab w:val="left" w:pos="525"/>
                <w:tab w:val="left" w:pos="630"/>
                <w:tab w:val="left" w:pos="735"/>
              </w:tabs>
              <w:spacing w:line="410" w:lineRule="exact"/>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lang w:eastAsia="zh-CN"/>
              </w:rPr>
              <w:t>人员及企业管理</w:t>
            </w:r>
          </w:p>
        </w:tc>
        <w:tc>
          <w:tcPr>
            <w:tcW w:w="559" w:type="dxa"/>
            <w:shd w:val="clear" w:color="auto" w:fill="auto"/>
            <w:noWrap w:val="0"/>
            <w:vAlign w:val="center"/>
          </w:tcPr>
          <w:p w14:paraId="538731C3">
            <w:pPr>
              <w:tabs>
                <w:tab w:val="left" w:pos="420"/>
                <w:tab w:val="left" w:pos="525"/>
                <w:tab w:val="left" w:pos="630"/>
                <w:tab w:val="left" w:pos="735"/>
              </w:tabs>
              <w:spacing w:line="410" w:lineRule="exact"/>
              <w:rPr>
                <w:rFonts w:hint="eastAsia" w:ascii="宋体" w:hAnsi="宋体" w:eastAsia="宋体" w:cs="宋体"/>
                <w:color w:val="auto"/>
                <w:kern w:val="2"/>
                <w:sz w:val="24"/>
                <w:szCs w:val="24"/>
                <w:highlight w:val="none"/>
                <w:lang w:val="en-US" w:eastAsia="zh-CN" w:bidi="ar-SA"/>
              </w:rPr>
            </w:pPr>
            <w:r>
              <w:rPr>
                <w:rFonts w:hint="eastAsia" w:ascii="宋体" w:hAnsi="宋体" w:cs="宋体"/>
                <w:color w:val="auto"/>
                <w:sz w:val="24"/>
                <w:szCs w:val="24"/>
                <w:highlight w:val="none"/>
                <w:lang w:val="en-US" w:eastAsia="zh-CN"/>
              </w:rPr>
              <w:t>3</w:t>
            </w:r>
            <w:r>
              <w:rPr>
                <w:rFonts w:hint="eastAsia" w:ascii="宋体" w:hAnsi="宋体" w:eastAsia="宋体" w:cs="宋体"/>
                <w:color w:val="auto"/>
                <w:sz w:val="24"/>
                <w:szCs w:val="24"/>
                <w:highlight w:val="none"/>
                <w:lang w:val="en-US" w:eastAsia="zh-CN"/>
              </w:rPr>
              <w:t>分</w:t>
            </w:r>
          </w:p>
        </w:tc>
        <w:tc>
          <w:tcPr>
            <w:tcW w:w="7991" w:type="dxa"/>
            <w:shd w:val="clear" w:color="auto" w:fill="auto"/>
            <w:noWrap w:val="0"/>
            <w:vAlign w:val="center"/>
          </w:tcPr>
          <w:p w14:paraId="552A53AE">
            <w:pPr>
              <w:tabs>
                <w:tab w:val="left" w:pos="420"/>
                <w:tab w:val="left" w:pos="525"/>
                <w:tab w:val="left" w:pos="630"/>
                <w:tab w:val="left" w:pos="735"/>
              </w:tabs>
              <w:spacing w:line="410" w:lineRule="exact"/>
              <w:rPr>
                <w:rFonts w:hint="eastAsia" w:ascii="宋体" w:hAnsi="宋体" w:cs="宋体"/>
                <w:color w:val="auto"/>
                <w:kern w:val="2"/>
                <w:sz w:val="24"/>
                <w:szCs w:val="24"/>
                <w:highlight w:val="none"/>
                <w:lang w:val="en-US" w:eastAsia="zh-CN" w:bidi="ar-SA"/>
              </w:rPr>
            </w:pPr>
            <w:r>
              <w:rPr>
                <w:rFonts w:hint="eastAsia" w:ascii="宋体" w:hAnsi="宋体" w:cs="宋体"/>
                <w:color w:val="auto"/>
                <w:kern w:val="2"/>
                <w:sz w:val="24"/>
                <w:szCs w:val="24"/>
                <w:highlight w:val="none"/>
                <w:lang w:val="en-US" w:eastAsia="zh-CN" w:bidi="ar-SA"/>
              </w:rPr>
              <w:t>一、评审内容</w:t>
            </w:r>
          </w:p>
          <w:p w14:paraId="02AD46C6">
            <w:pPr>
              <w:tabs>
                <w:tab w:val="left" w:pos="420"/>
                <w:tab w:val="left" w:pos="525"/>
                <w:tab w:val="left" w:pos="630"/>
                <w:tab w:val="left" w:pos="735"/>
              </w:tabs>
              <w:spacing w:line="410" w:lineRule="exact"/>
              <w:rPr>
                <w:rFonts w:hint="eastAsia" w:ascii="宋体" w:hAnsi="宋体" w:eastAsia="宋体" w:cs="宋体"/>
                <w:color w:val="auto"/>
                <w:kern w:val="2"/>
                <w:sz w:val="24"/>
                <w:szCs w:val="24"/>
                <w:highlight w:val="none"/>
                <w:lang w:val="en-US" w:eastAsia="zh-CN" w:bidi="ar-SA"/>
              </w:rPr>
            </w:pPr>
            <w:r>
              <w:rPr>
                <w:rFonts w:hint="eastAsia" w:ascii="宋体" w:hAnsi="宋体" w:cs="宋体"/>
                <w:color w:val="auto"/>
                <w:sz w:val="24"/>
                <w:szCs w:val="24"/>
                <w:highlight w:val="none"/>
                <w:lang w:eastAsia="zh-CN"/>
              </w:rPr>
              <w:t>根据</w:t>
            </w:r>
            <w:r>
              <w:rPr>
                <w:rFonts w:hint="eastAsia" w:ascii="宋体" w:hAnsi="宋体" w:eastAsia="宋体" w:cs="宋体"/>
                <w:color w:val="auto"/>
                <w:sz w:val="24"/>
                <w:szCs w:val="24"/>
                <w:highlight w:val="none"/>
              </w:rPr>
              <w:t>供应商</w:t>
            </w:r>
            <w:r>
              <w:rPr>
                <w:rFonts w:hint="eastAsia" w:ascii="宋体" w:hAnsi="宋体" w:cs="宋体"/>
                <w:color w:val="auto"/>
                <w:sz w:val="24"/>
                <w:szCs w:val="24"/>
                <w:highlight w:val="none"/>
                <w:lang w:val="en-US" w:eastAsia="zh-CN"/>
              </w:rPr>
              <w:t>提供的</w:t>
            </w:r>
            <w:r>
              <w:rPr>
                <w:rFonts w:hint="eastAsia" w:ascii="宋体" w:hAnsi="宋体" w:eastAsia="宋体" w:cs="宋体"/>
                <w:color w:val="auto"/>
                <w:sz w:val="24"/>
                <w:szCs w:val="24"/>
                <w:highlight w:val="none"/>
                <w:lang w:val="en-US" w:eastAsia="zh-CN"/>
              </w:rPr>
              <w:t>企业管理制度和人员培训方案进行评审</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lang w:val="en-US" w:eastAsia="zh-CN"/>
              </w:rPr>
              <w:t>3分</w:t>
            </w:r>
            <w:r>
              <w:rPr>
                <w:rFonts w:hint="eastAsia" w:ascii="宋体" w:hAnsi="宋体" w:cs="宋体"/>
                <w:color w:val="auto"/>
                <w:sz w:val="24"/>
                <w:szCs w:val="24"/>
                <w:highlight w:val="none"/>
                <w:lang w:eastAsia="zh-CN"/>
              </w:rPr>
              <w:t>）</w:t>
            </w:r>
            <w:r>
              <w:rPr>
                <w:rFonts w:hint="eastAsia" w:ascii="宋体" w:hAnsi="宋体" w:cs="宋体"/>
                <w:color w:val="auto"/>
                <w:kern w:val="2"/>
                <w:sz w:val="24"/>
                <w:szCs w:val="24"/>
                <w:highlight w:val="none"/>
                <w:lang w:val="en-US" w:eastAsia="zh-CN" w:bidi="ar-SA"/>
              </w:rPr>
              <w:t>。</w:t>
            </w:r>
          </w:p>
          <w:p w14:paraId="292334BD">
            <w:pPr>
              <w:tabs>
                <w:tab w:val="left" w:pos="420"/>
                <w:tab w:val="left" w:pos="525"/>
                <w:tab w:val="left" w:pos="630"/>
                <w:tab w:val="left" w:pos="735"/>
              </w:tabs>
              <w:spacing w:line="410" w:lineRule="exact"/>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二、评审标准</w:t>
            </w:r>
          </w:p>
          <w:p w14:paraId="769C2741">
            <w:pPr>
              <w:tabs>
                <w:tab w:val="left" w:pos="420"/>
                <w:tab w:val="left" w:pos="525"/>
                <w:tab w:val="left" w:pos="630"/>
                <w:tab w:val="left" w:pos="735"/>
              </w:tabs>
              <w:spacing w:line="410" w:lineRule="exact"/>
              <w:rPr>
                <w:rFonts w:hint="eastAsia" w:ascii="宋体" w:hAnsi="宋体" w:eastAsia="宋体" w:cs="宋体"/>
                <w:color w:val="auto"/>
                <w:kern w:val="2"/>
                <w:sz w:val="24"/>
                <w:szCs w:val="24"/>
                <w:highlight w:val="none"/>
                <w:lang w:val="en-US" w:eastAsia="zh-CN" w:bidi="ar-SA"/>
              </w:rPr>
            </w:pPr>
            <w:r>
              <w:rPr>
                <w:rFonts w:hint="eastAsia" w:ascii="宋体" w:hAnsi="宋体" w:cs="宋体"/>
                <w:color w:val="auto"/>
                <w:kern w:val="2"/>
                <w:sz w:val="24"/>
                <w:szCs w:val="24"/>
                <w:highlight w:val="none"/>
                <w:lang w:val="en-US" w:eastAsia="zh-CN" w:bidi="ar-SA"/>
              </w:rPr>
              <w:t>（1）</w:t>
            </w:r>
            <w:r>
              <w:rPr>
                <w:rFonts w:hint="eastAsia" w:ascii="宋体" w:hAnsi="宋体" w:eastAsia="宋体" w:cs="宋体"/>
                <w:color w:val="auto"/>
                <w:kern w:val="2"/>
                <w:sz w:val="24"/>
                <w:szCs w:val="24"/>
                <w:highlight w:val="none"/>
                <w:lang w:val="en-US" w:eastAsia="zh-CN" w:bidi="ar-SA"/>
              </w:rPr>
              <w:t>完整性：评审内容完整、方案要素齐全，有详细的理解和阐述；</w:t>
            </w:r>
          </w:p>
          <w:p w14:paraId="1D7B9881">
            <w:pPr>
              <w:tabs>
                <w:tab w:val="left" w:pos="420"/>
                <w:tab w:val="left" w:pos="525"/>
                <w:tab w:val="left" w:pos="630"/>
                <w:tab w:val="left" w:pos="735"/>
              </w:tabs>
              <w:spacing w:line="410" w:lineRule="exact"/>
              <w:rPr>
                <w:rFonts w:hint="eastAsia" w:ascii="宋体" w:hAnsi="宋体" w:eastAsia="宋体" w:cs="宋体"/>
                <w:color w:val="auto"/>
                <w:kern w:val="2"/>
                <w:sz w:val="24"/>
                <w:szCs w:val="24"/>
                <w:highlight w:val="none"/>
                <w:lang w:val="en-US" w:eastAsia="zh-CN" w:bidi="ar-SA"/>
              </w:rPr>
            </w:pPr>
            <w:r>
              <w:rPr>
                <w:rFonts w:hint="eastAsia" w:ascii="宋体" w:hAnsi="宋体" w:cs="宋体"/>
                <w:color w:val="auto"/>
                <w:kern w:val="2"/>
                <w:sz w:val="24"/>
                <w:szCs w:val="24"/>
                <w:highlight w:val="none"/>
                <w:lang w:val="en-US" w:eastAsia="zh-CN" w:bidi="ar-SA"/>
              </w:rPr>
              <w:t>（2）</w:t>
            </w:r>
            <w:r>
              <w:rPr>
                <w:rFonts w:hint="eastAsia" w:ascii="宋体" w:hAnsi="宋体" w:eastAsia="宋体" w:cs="宋体"/>
                <w:color w:val="auto"/>
                <w:kern w:val="2"/>
                <w:sz w:val="24"/>
                <w:szCs w:val="24"/>
                <w:highlight w:val="none"/>
                <w:lang w:val="en-US" w:eastAsia="zh-CN" w:bidi="ar-SA"/>
              </w:rPr>
              <w:t>合理性：总体思路清晰，服务方案逻辑严谨，能够准确把握项目的目的、意图和需求，可行性高；</w:t>
            </w:r>
          </w:p>
          <w:p w14:paraId="36544343">
            <w:pPr>
              <w:tabs>
                <w:tab w:val="left" w:pos="420"/>
                <w:tab w:val="left" w:pos="525"/>
                <w:tab w:val="left" w:pos="630"/>
                <w:tab w:val="left" w:pos="735"/>
              </w:tabs>
              <w:spacing w:line="410" w:lineRule="exact"/>
              <w:rPr>
                <w:rFonts w:hint="eastAsia" w:ascii="宋体" w:hAnsi="宋体" w:eastAsia="宋体" w:cs="宋体"/>
                <w:color w:val="auto"/>
                <w:kern w:val="2"/>
                <w:sz w:val="24"/>
                <w:szCs w:val="24"/>
                <w:highlight w:val="none"/>
                <w:lang w:val="en-US" w:eastAsia="zh-CN" w:bidi="ar-SA"/>
              </w:rPr>
            </w:pPr>
            <w:r>
              <w:rPr>
                <w:rFonts w:hint="eastAsia" w:ascii="宋体" w:hAnsi="宋体" w:cs="宋体"/>
                <w:color w:val="auto"/>
                <w:kern w:val="2"/>
                <w:sz w:val="24"/>
                <w:szCs w:val="24"/>
                <w:highlight w:val="none"/>
                <w:lang w:val="en-US" w:eastAsia="zh-CN" w:bidi="ar-SA"/>
              </w:rPr>
              <w:t>（3）</w:t>
            </w:r>
            <w:r>
              <w:rPr>
                <w:rFonts w:hint="eastAsia" w:ascii="宋体" w:hAnsi="宋体" w:eastAsia="宋体" w:cs="宋体"/>
                <w:color w:val="auto"/>
                <w:kern w:val="2"/>
                <w:sz w:val="24"/>
                <w:szCs w:val="24"/>
                <w:highlight w:val="none"/>
                <w:lang w:val="en-US" w:eastAsia="zh-CN" w:bidi="ar-SA"/>
              </w:rPr>
              <w:t>针对性：符合本项目实际情况，可操作性强，有实用性、有针对性；</w:t>
            </w:r>
          </w:p>
          <w:p w14:paraId="61D0C03E">
            <w:pPr>
              <w:tabs>
                <w:tab w:val="left" w:pos="420"/>
                <w:tab w:val="left" w:pos="525"/>
                <w:tab w:val="left" w:pos="630"/>
                <w:tab w:val="left" w:pos="735"/>
              </w:tabs>
              <w:spacing w:line="410" w:lineRule="exact"/>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对上述</w:t>
            </w:r>
            <w:r>
              <w:rPr>
                <w:rFonts w:hint="eastAsia" w:ascii="宋体" w:hAnsi="宋体" w:cs="宋体"/>
                <w:color w:val="auto"/>
                <w:kern w:val="2"/>
                <w:sz w:val="24"/>
                <w:szCs w:val="24"/>
                <w:highlight w:val="none"/>
                <w:lang w:val="en-US" w:eastAsia="zh-CN" w:bidi="ar-SA"/>
              </w:rPr>
              <w:t>1</w:t>
            </w:r>
            <w:r>
              <w:rPr>
                <w:rFonts w:hint="eastAsia" w:ascii="宋体" w:hAnsi="宋体" w:eastAsia="宋体" w:cs="宋体"/>
                <w:color w:val="auto"/>
                <w:kern w:val="2"/>
                <w:sz w:val="24"/>
                <w:szCs w:val="24"/>
                <w:highlight w:val="none"/>
                <w:lang w:val="en-US" w:eastAsia="zh-CN" w:bidi="ar-SA"/>
              </w:rPr>
              <w:t>项评审内容进行打分，每项评审内容完全满足3项评审标准的得</w:t>
            </w:r>
            <w:r>
              <w:rPr>
                <w:rFonts w:hint="eastAsia" w:ascii="宋体" w:hAnsi="宋体" w:cs="宋体"/>
                <w:color w:val="auto"/>
                <w:kern w:val="2"/>
                <w:sz w:val="24"/>
                <w:szCs w:val="24"/>
                <w:highlight w:val="none"/>
                <w:lang w:val="en-US" w:eastAsia="zh-CN" w:bidi="ar-SA"/>
              </w:rPr>
              <w:t>3</w:t>
            </w:r>
            <w:r>
              <w:rPr>
                <w:rFonts w:hint="eastAsia" w:ascii="宋体" w:hAnsi="宋体" w:eastAsia="宋体" w:cs="宋体"/>
                <w:color w:val="auto"/>
                <w:kern w:val="2"/>
                <w:sz w:val="24"/>
                <w:szCs w:val="24"/>
                <w:highlight w:val="none"/>
                <w:lang w:val="en-US" w:eastAsia="zh-CN" w:bidi="ar-SA"/>
              </w:rPr>
              <w:t>分，满足2项的得</w:t>
            </w:r>
            <w:r>
              <w:rPr>
                <w:rFonts w:hint="eastAsia" w:ascii="宋体" w:hAnsi="宋体" w:cs="宋体"/>
                <w:color w:val="auto"/>
                <w:kern w:val="2"/>
                <w:sz w:val="24"/>
                <w:szCs w:val="24"/>
                <w:highlight w:val="none"/>
                <w:lang w:val="en-US" w:eastAsia="zh-CN" w:bidi="ar-SA"/>
              </w:rPr>
              <w:t>3</w:t>
            </w:r>
            <w:r>
              <w:rPr>
                <w:rFonts w:hint="eastAsia" w:ascii="宋体" w:hAnsi="宋体" w:eastAsia="宋体" w:cs="宋体"/>
                <w:color w:val="auto"/>
                <w:kern w:val="2"/>
                <w:sz w:val="24"/>
                <w:szCs w:val="24"/>
                <w:highlight w:val="none"/>
                <w:lang w:val="en-US" w:eastAsia="zh-CN" w:bidi="ar-SA"/>
              </w:rPr>
              <w:t>分，满足1项的得</w:t>
            </w:r>
            <w:r>
              <w:rPr>
                <w:rFonts w:hint="eastAsia" w:ascii="宋体" w:hAnsi="宋体" w:cs="宋体"/>
                <w:color w:val="auto"/>
                <w:kern w:val="2"/>
                <w:sz w:val="24"/>
                <w:szCs w:val="24"/>
                <w:highlight w:val="none"/>
                <w:lang w:val="en-US" w:eastAsia="zh-CN" w:bidi="ar-SA"/>
              </w:rPr>
              <w:t>1</w:t>
            </w:r>
            <w:r>
              <w:rPr>
                <w:rFonts w:hint="eastAsia" w:ascii="宋体" w:hAnsi="宋体" w:eastAsia="宋体" w:cs="宋体"/>
                <w:color w:val="auto"/>
                <w:kern w:val="2"/>
                <w:sz w:val="24"/>
                <w:szCs w:val="24"/>
                <w:highlight w:val="none"/>
                <w:lang w:val="en-US" w:eastAsia="zh-CN" w:bidi="ar-SA"/>
              </w:rPr>
              <w:t>分，其他情况不得分。</w:t>
            </w:r>
          </w:p>
        </w:tc>
      </w:tr>
      <w:tr w14:paraId="6B0B5E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472" w:type="dxa"/>
            <w:vMerge w:val="continue"/>
            <w:noWrap w:val="0"/>
            <w:vAlign w:val="center"/>
          </w:tcPr>
          <w:p w14:paraId="56B3A116">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color w:val="auto"/>
                <w:sz w:val="24"/>
                <w:szCs w:val="24"/>
                <w:highlight w:val="none"/>
              </w:rPr>
            </w:pPr>
          </w:p>
        </w:tc>
        <w:tc>
          <w:tcPr>
            <w:tcW w:w="729" w:type="dxa"/>
            <w:shd w:val="clear" w:color="auto" w:fill="auto"/>
            <w:noWrap w:val="0"/>
            <w:vAlign w:val="center"/>
          </w:tcPr>
          <w:p w14:paraId="702142F8">
            <w:pPr>
              <w:tabs>
                <w:tab w:val="left" w:pos="420"/>
                <w:tab w:val="left" w:pos="525"/>
                <w:tab w:val="left" w:pos="630"/>
                <w:tab w:val="left" w:pos="735"/>
              </w:tabs>
              <w:spacing w:line="410" w:lineRule="exact"/>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应急预案处理措施</w:t>
            </w:r>
          </w:p>
        </w:tc>
        <w:tc>
          <w:tcPr>
            <w:tcW w:w="559" w:type="dxa"/>
            <w:shd w:val="clear" w:color="auto" w:fill="auto"/>
            <w:noWrap w:val="0"/>
            <w:vAlign w:val="center"/>
          </w:tcPr>
          <w:p w14:paraId="32808174">
            <w:pPr>
              <w:tabs>
                <w:tab w:val="left" w:pos="420"/>
                <w:tab w:val="left" w:pos="525"/>
                <w:tab w:val="left" w:pos="630"/>
                <w:tab w:val="left" w:pos="735"/>
              </w:tabs>
              <w:spacing w:line="410" w:lineRule="exact"/>
              <w:rPr>
                <w:rFonts w:hint="eastAsia" w:ascii="宋体" w:hAnsi="宋体" w:eastAsia="宋体" w:cs="宋体"/>
                <w:color w:val="auto"/>
                <w:kern w:val="2"/>
                <w:sz w:val="24"/>
                <w:szCs w:val="24"/>
                <w:highlight w:val="none"/>
                <w:lang w:val="en-US" w:eastAsia="zh-CN" w:bidi="ar-SA"/>
              </w:rPr>
            </w:pPr>
            <w:r>
              <w:rPr>
                <w:rFonts w:hint="eastAsia" w:ascii="宋体" w:hAnsi="宋体" w:cs="宋体"/>
                <w:color w:val="auto"/>
                <w:sz w:val="24"/>
                <w:szCs w:val="24"/>
                <w:highlight w:val="none"/>
                <w:lang w:val="en-US" w:eastAsia="zh-CN"/>
              </w:rPr>
              <w:t>20</w:t>
            </w:r>
            <w:r>
              <w:rPr>
                <w:rFonts w:hint="eastAsia" w:ascii="宋体" w:hAnsi="宋体" w:eastAsia="宋体" w:cs="宋体"/>
                <w:color w:val="auto"/>
                <w:sz w:val="24"/>
                <w:szCs w:val="24"/>
                <w:highlight w:val="none"/>
                <w:lang w:val="en-US" w:eastAsia="zh-CN"/>
              </w:rPr>
              <w:t>分</w:t>
            </w:r>
          </w:p>
        </w:tc>
        <w:tc>
          <w:tcPr>
            <w:tcW w:w="7991" w:type="dxa"/>
            <w:shd w:val="clear" w:color="auto" w:fill="auto"/>
            <w:noWrap w:val="0"/>
            <w:vAlign w:val="center"/>
          </w:tcPr>
          <w:p w14:paraId="1D03CD7B">
            <w:pPr>
              <w:tabs>
                <w:tab w:val="left" w:pos="420"/>
                <w:tab w:val="left" w:pos="525"/>
                <w:tab w:val="left" w:pos="630"/>
                <w:tab w:val="left" w:pos="735"/>
              </w:tabs>
              <w:spacing w:line="410" w:lineRule="exact"/>
              <w:rPr>
                <w:rFonts w:hint="eastAsia" w:ascii="宋体" w:hAnsi="宋体" w:cs="宋体"/>
                <w:color w:val="auto"/>
                <w:kern w:val="2"/>
                <w:sz w:val="24"/>
                <w:szCs w:val="24"/>
                <w:highlight w:val="none"/>
                <w:lang w:val="en-US" w:eastAsia="zh-CN" w:bidi="ar-SA"/>
              </w:rPr>
            </w:pPr>
            <w:r>
              <w:rPr>
                <w:rFonts w:hint="eastAsia" w:ascii="宋体" w:hAnsi="宋体" w:cs="宋体"/>
                <w:color w:val="auto"/>
                <w:kern w:val="2"/>
                <w:sz w:val="24"/>
                <w:szCs w:val="24"/>
                <w:highlight w:val="none"/>
                <w:lang w:val="en-US" w:eastAsia="zh-CN" w:bidi="ar-SA"/>
              </w:rPr>
              <w:t>一、评审内容</w:t>
            </w:r>
          </w:p>
          <w:p w14:paraId="1F3DCE47">
            <w:pPr>
              <w:tabs>
                <w:tab w:val="left" w:pos="420"/>
                <w:tab w:val="left" w:pos="525"/>
                <w:tab w:val="left" w:pos="630"/>
                <w:tab w:val="left" w:pos="735"/>
              </w:tabs>
              <w:spacing w:line="410" w:lineRule="exact"/>
              <w:rPr>
                <w:rFonts w:hint="eastAsia" w:ascii="宋体" w:hAnsi="宋体" w:eastAsia="宋体" w:cs="宋体"/>
                <w:color w:val="auto"/>
                <w:kern w:val="2"/>
                <w:sz w:val="24"/>
                <w:szCs w:val="24"/>
                <w:highlight w:val="none"/>
                <w:lang w:val="en-US" w:eastAsia="zh-CN" w:bidi="ar-SA"/>
              </w:rPr>
            </w:pPr>
            <w:r>
              <w:rPr>
                <w:rFonts w:hint="eastAsia" w:ascii="宋体" w:hAnsi="宋体" w:cs="宋体"/>
                <w:color w:val="auto"/>
                <w:kern w:val="2"/>
                <w:sz w:val="24"/>
                <w:szCs w:val="24"/>
                <w:highlight w:val="none"/>
                <w:lang w:val="en-US" w:eastAsia="zh-CN" w:bidi="ar-SA"/>
              </w:rPr>
              <w:t>根据供应商针对</w:t>
            </w:r>
            <w:r>
              <w:rPr>
                <w:rFonts w:hint="eastAsia" w:ascii="宋体" w:hAnsi="宋体" w:eastAsia="宋体" w:cs="宋体"/>
                <w:color w:val="auto"/>
                <w:sz w:val="24"/>
                <w:szCs w:val="24"/>
                <w:highlight w:val="none"/>
              </w:rPr>
              <w:t>突发事件的处理措施和应急预案</w:t>
            </w:r>
            <w:r>
              <w:rPr>
                <w:rFonts w:hint="eastAsia" w:ascii="宋体" w:hAnsi="宋体" w:cs="宋体"/>
                <w:color w:val="auto"/>
                <w:sz w:val="24"/>
                <w:szCs w:val="24"/>
                <w:highlight w:val="none"/>
                <w:lang w:eastAsia="zh-CN"/>
              </w:rPr>
              <w:t>进行评审</w:t>
            </w:r>
            <w:r>
              <w:rPr>
                <w:rFonts w:hint="eastAsia" w:ascii="宋体" w:hAnsi="宋体" w:cs="宋体"/>
                <w:color w:val="auto"/>
                <w:kern w:val="2"/>
                <w:sz w:val="24"/>
                <w:szCs w:val="24"/>
                <w:highlight w:val="none"/>
                <w:lang w:val="en-US" w:eastAsia="zh-CN" w:bidi="ar-SA"/>
              </w:rPr>
              <w:t>，内容包括但不限于：①</w:t>
            </w:r>
            <w:r>
              <w:rPr>
                <w:rFonts w:hint="eastAsia" w:ascii="宋体" w:hAnsi="宋体" w:eastAsia="宋体" w:cs="宋体"/>
                <w:color w:val="auto"/>
                <w:sz w:val="24"/>
                <w:szCs w:val="24"/>
                <w:highlight w:val="none"/>
                <w:lang w:eastAsia="zh-CN"/>
              </w:rPr>
              <w:t>创建迎检或其他领导交办的临时性零星垃圾清理处置方案</w:t>
            </w:r>
            <w:r>
              <w:rPr>
                <w:rFonts w:hint="eastAsia" w:ascii="宋体" w:hAnsi="宋体" w:cs="宋体"/>
                <w:color w:val="auto"/>
                <w:kern w:val="2"/>
                <w:sz w:val="24"/>
                <w:szCs w:val="24"/>
                <w:highlight w:val="none"/>
                <w:lang w:val="en-US" w:eastAsia="zh-CN" w:bidi="ar-SA"/>
              </w:rPr>
              <w:t>（4分）；②</w:t>
            </w:r>
            <w:r>
              <w:rPr>
                <w:rFonts w:hint="eastAsia" w:ascii="宋体" w:hAnsi="宋体" w:eastAsia="宋体" w:cs="宋体"/>
                <w:color w:val="auto"/>
                <w:sz w:val="24"/>
                <w:szCs w:val="24"/>
                <w:highlight w:val="none"/>
                <w:lang w:eastAsia="zh-CN"/>
              </w:rPr>
              <w:t>中转站设备故障垃圾分流任务方案</w:t>
            </w:r>
            <w:r>
              <w:rPr>
                <w:rFonts w:hint="eastAsia" w:ascii="宋体" w:hAnsi="宋体" w:cs="宋体"/>
                <w:color w:val="auto"/>
                <w:kern w:val="2"/>
                <w:sz w:val="24"/>
                <w:szCs w:val="24"/>
                <w:highlight w:val="none"/>
                <w:lang w:val="en-US" w:eastAsia="zh-CN" w:bidi="ar-SA"/>
              </w:rPr>
              <w:t>（4分）；③</w:t>
            </w:r>
            <w:r>
              <w:rPr>
                <w:rFonts w:hint="eastAsia" w:ascii="宋体" w:hAnsi="宋体" w:eastAsia="宋体" w:cs="宋体"/>
                <w:color w:val="auto"/>
                <w:sz w:val="24"/>
                <w:szCs w:val="24"/>
                <w:highlight w:val="none"/>
                <w:lang w:eastAsia="zh-CN"/>
              </w:rPr>
              <w:t>创建迎检期间加班方案</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lang w:val="en-US" w:eastAsia="zh-CN"/>
              </w:rPr>
              <w:t>4分</w:t>
            </w:r>
            <w:r>
              <w:rPr>
                <w:rFonts w:hint="eastAsia" w:ascii="宋体" w:hAnsi="宋体" w:cs="宋体"/>
                <w:color w:val="auto"/>
                <w:sz w:val="24"/>
                <w:szCs w:val="24"/>
                <w:highlight w:val="none"/>
                <w:lang w:eastAsia="zh-CN"/>
              </w:rPr>
              <w:t>）；④</w:t>
            </w:r>
            <w:r>
              <w:rPr>
                <w:rFonts w:hint="eastAsia" w:ascii="宋体" w:hAnsi="宋体" w:eastAsia="宋体" w:cs="宋体"/>
                <w:color w:val="auto"/>
                <w:sz w:val="24"/>
                <w:szCs w:val="24"/>
                <w:highlight w:val="none"/>
                <w:lang w:eastAsia="zh-CN"/>
              </w:rPr>
              <w:t>临时性任务完成时间保障方案</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lang w:val="en-US" w:eastAsia="zh-CN"/>
              </w:rPr>
              <w:t>4分</w:t>
            </w:r>
            <w:r>
              <w:rPr>
                <w:rFonts w:hint="eastAsia" w:ascii="宋体" w:hAnsi="宋体" w:cs="宋体"/>
                <w:color w:val="auto"/>
                <w:sz w:val="24"/>
                <w:szCs w:val="24"/>
                <w:highlight w:val="none"/>
                <w:lang w:eastAsia="zh-CN"/>
              </w:rPr>
              <w:t>）；⑤</w:t>
            </w:r>
            <w:r>
              <w:rPr>
                <w:rFonts w:hint="eastAsia" w:ascii="宋体" w:hAnsi="宋体" w:eastAsia="宋体" w:cs="宋体"/>
                <w:color w:val="auto"/>
                <w:sz w:val="24"/>
                <w:szCs w:val="24"/>
                <w:highlight w:val="none"/>
                <w:lang w:eastAsia="zh-CN"/>
              </w:rPr>
              <w:t>临时性任务车辆、人员调配方案</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lang w:val="en-US" w:eastAsia="zh-CN"/>
              </w:rPr>
              <w:t>4分</w:t>
            </w:r>
            <w:r>
              <w:rPr>
                <w:rFonts w:hint="eastAsia" w:ascii="宋体" w:hAnsi="宋体" w:cs="宋体"/>
                <w:color w:val="auto"/>
                <w:sz w:val="24"/>
                <w:szCs w:val="24"/>
                <w:highlight w:val="none"/>
                <w:lang w:eastAsia="zh-CN"/>
              </w:rPr>
              <w:t>）。</w:t>
            </w:r>
          </w:p>
          <w:p w14:paraId="0DDE8574">
            <w:pPr>
              <w:tabs>
                <w:tab w:val="left" w:pos="420"/>
                <w:tab w:val="left" w:pos="525"/>
                <w:tab w:val="left" w:pos="630"/>
                <w:tab w:val="left" w:pos="735"/>
              </w:tabs>
              <w:spacing w:line="410" w:lineRule="exact"/>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二、评审标准</w:t>
            </w:r>
          </w:p>
          <w:p w14:paraId="2C7FCD5D">
            <w:pPr>
              <w:tabs>
                <w:tab w:val="left" w:pos="420"/>
                <w:tab w:val="left" w:pos="525"/>
                <w:tab w:val="left" w:pos="630"/>
                <w:tab w:val="left" w:pos="735"/>
              </w:tabs>
              <w:spacing w:line="410" w:lineRule="exact"/>
              <w:rPr>
                <w:rFonts w:hint="eastAsia" w:ascii="宋体" w:hAnsi="宋体" w:eastAsia="宋体" w:cs="宋体"/>
                <w:color w:val="auto"/>
                <w:kern w:val="2"/>
                <w:sz w:val="24"/>
                <w:szCs w:val="24"/>
                <w:highlight w:val="none"/>
                <w:lang w:val="en-US" w:eastAsia="zh-CN" w:bidi="ar-SA"/>
              </w:rPr>
            </w:pPr>
            <w:r>
              <w:rPr>
                <w:rFonts w:hint="eastAsia" w:ascii="宋体" w:hAnsi="宋体" w:cs="宋体"/>
                <w:color w:val="auto"/>
                <w:kern w:val="2"/>
                <w:sz w:val="24"/>
                <w:szCs w:val="24"/>
                <w:highlight w:val="none"/>
                <w:lang w:val="en-US" w:eastAsia="zh-CN" w:bidi="ar-SA"/>
              </w:rPr>
              <w:t>（1）</w:t>
            </w:r>
            <w:r>
              <w:rPr>
                <w:rFonts w:hint="eastAsia" w:ascii="宋体" w:hAnsi="宋体" w:eastAsia="宋体" w:cs="宋体"/>
                <w:color w:val="auto"/>
                <w:kern w:val="2"/>
                <w:sz w:val="24"/>
                <w:szCs w:val="24"/>
                <w:highlight w:val="none"/>
                <w:lang w:val="en-US" w:eastAsia="zh-CN" w:bidi="ar-SA"/>
              </w:rPr>
              <w:t>完整性：评审内容完整、方案要素齐全，有详细的理解和阐述；</w:t>
            </w:r>
          </w:p>
          <w:p w14:paraId="1E9E3B77">
            <w:pPr>
              <w:tabs>
                <w:tab w:val="left" w:pos="420"/>
                <w:tab w:val="left" w:pos="525"/>
                <w:tab w:val="left" w:pos="630"/>
                <w:tab w:val="left" w:pos="735"/>
              </w:tabs>
              <w:spacing w:line="410" w:lineRule="exact"/>
              <w:rPr>
                <w:rFonts w:hint="eastAsia" w:ascii="宋体" w:hAnsi="宋体" w:eastAsia="宋体" w:cs="宋体"/>
                <w:color w:val="auto"/>
                <w:kern w:val="2"/>
                <w:sz w:val="24"/>
                <w:szCs w:val="24"/>
                <w:highlight w:val="none"/>
                <w:lang w:val="en-US" w:eastAsia="zh-CN" w:bidi="ar-SA"/>
              </w:rPr>
            </w:pPr>
            <w:r>
              <w:rPr>
                <w:rFonts w:hint="eastAsia" w:ascii="宋体" w:hAnsi="宋体" w:cs="宋体"/>
                <w:color w:val="auto"/>
                <w:kern w:val="2"/>
                <w:sz w:val="24"/>
                <w:szCs w:val="24"/>
                <w:highlight w:val="none"/>
                <w:lang w:val="en-US" w:eastAsia="zh-CN" w:bidi="ar-SA"/>
              </w:rPr>
              <w:t>（2）</w:t>
            </w:r>
            <w:r>
              <w:rPr>
                <w:rFonts w:hint="eastAsia" w:ascii="宋体" w:hAnsi="宋体" w:eastAsia="宋体" w:cs="宋体"/>
                <w:color w:val="auto"/>
                <w:kern w:val="2"/>
                <w:sz w:val="24"/>
                <w:szCs w:val="24"/>
                <w:highlight w:val="none"/>
                <w:lang w:val="en-US" w:eastAsia="zh-CN" w:bidi="ar-SA"/>
              </w:rPr>
              <w:t>合理性：总体思路清晰，服务方案逻辑严谨，能够准确把握项目的目的、意图和需求，可行性高；</w:t>
            </w:r>
          </w:p>
          <w:p w14:paraId="58A752CE">
            <w:pPr>
              <w:tabs>
                <w:tab w:val="left" w:pos="420"/>
                <w:tab w:val="left" w:pos="525"/>
                <w:tab w:val="left" w:pos="630"/>
                <w:tab w:val="left" w:pos="735"/>
              </w:tabs>
              <w:spacing w:line="410" w:lineRule="exact"/>
              <w:rPr>
                <w:rFonts w:hint="eastAsia" w:ascii="宋体" w:hAnsi="宋体" w:eastAsia="宋体" w:cs="宋体"/>
                <w:color w:val="auto"/>
                <w:kern w:val="2"/>
                <w:sz w:val="24"/>
                <w:szCs w:val="24"/>
                <w:highlight w:val="none"/>
                <w:lang w:val="en-US" w:eastAsia="zh-CN" w:bidi="ar-SA"/>
              </w:rPr>
            </w:pPr>
            <w:r>
              <w:rPr>
                <w:rFonts w:hint="eastAsia" w:ascii="宋体" w:hAnsi="宋体" w:cs="宋体"/>
                <w:color w:val="auto"/>
                <w:kern w:val="2"/>
                <w:sz w:val="24"/>
                <w:szCs w:val="24"/>
                <w:highlight w:val="none"/>
                <w:lang w:val="en-US" w:eastAsia="zh-CN" w:bidi="ar-SA"/>
              </w:rPr>
              <w:t>（3）</w:t>
            </w:r>
            <w:r>
              <w:rPr>
                <w:rFonts w:hint="eastAsia" w:ascii="宋体" w:hAnsi="宋体" w:eastAsia="宋体" w:cs="宋体"/>
                <w:color w:val="auto"/>
                <w:kern w:val="2"/>
                <w:sz w:val="24"/>
                <w:szCs w:val="24"/>
                <w:highlight w:val="none"/>
                <w:lang w:val="en-US" w:eastAsia="zh-CN" w:bidi="ar-SA"/>
              </w:rPr>
              <w:t>针对性：符合本项目实际情况，可操作性强，有实用性、有针对性；</w:t>
            </w:r>
          </w:p>
          <w:p w14:paraId="3AC11BE0">
            <w:pPr>
              <w:tabs>
                <w:tab w:val="left" w:pos="420"/>
                <w:tab w:val="left" w:pos="525"/>
                <w:tab w:val="left" w:pos="630"/>
                <w:tab w:val="left" w:pos="735"/>
              </w:tabs>
              <w:spacing w:line="410" w:lineRule="exact"/>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对上述</w:t>
            </w:r>
            <w:r>
              <w:rPr>
                <w:rFonts w:hint="eastAsia" w:ascii="宋体" w:hAnsi="宋体" w:cs="宋体"/>
                <w:color w:val="auto"/>
                <w:kern w:val="2"/>
                <w:sz w:val="24"/>
                <w:szCs w:val="24"/>
                <w:highlight w:val="none"/>
                <w:lang w:val="en-US" w:eastAsia="zh-CN" w:bidi="ar-SA"/>
              </w:rPr>
              <w:t>5</w:t>
            </w:r>
            <w:r>
              <w:rPr>
                <w:rFonts w:hint="eastAsia" w:ascii="宋体" w:hAnsi="宋体" w:eastAsia="宋体" w:cs="宋体"/>
                <w:color w:val="auto"/>
                <w:kern w:val="2"/>
                <w:sz w:val="24"/>
                <w:szCs w:val="24"/>
                <w:highlight w:val="none"/>
                <w:lang w:val="en-US" w:eastAsia="zh-CN" w:bidi="ar-SA"/>
              </w:rPr>
              <w:t>项评审内容进行打分，每项评审内容完全满足3项评审标准的得</w:t>
            </w:r>
            <w:r>
              <w:rPr>
                <w:rFonts w:hint="eastAsia" w:ascii="宋体" w:hAnsi="宋体" w:cs="宋体"/>
                <w:color w:val="auto"/>
                <w:kern w:val="2"/>
                <w:sz w:val="24"/>
                <w:szCs w:val="24"/>
                <w:highlight w:val="none"/>
                <w:lang w:val="en-US" w:eastAsia="zh-CN" w:bidi="ar-SA"/>
              </w:rPr>
              <w:t>4</w:t>
            </w:r>
            <w:r>
              <w:rPr>
                <w:rFonts w:hint="eastAsia" w:ascii="宋体" w:hAnsi="宋体" w:eastAsia="宋体" w:cs="宋体"/>
                <w:color w:val="auto"/>
                <w:kern w:val="2"/>
                <w:sz w:val="24"/>
                <w:szCs w:val="24"/>
                <w:highlight w:val="none"/>
                <w:lang w:val="en-US" w:eastAsia="zh-CN" w:bidi="ar-SA"/>
              </w:rPr>
              <w:t>分，满足2项的得</w:t>
            </w:r>
            <w:r>
              <w:rPr>
                <w:rFonts w:hint="eastAsia" w:ascii="宋体" w:hAnsi="宋体" w:cs="宋体"/>
                <w:color w:val="auto"/>
                <w:kern w:val="2"/>
                <w:sz w:val="24"/>
                <w:szCs w:val="24"/>
                <w:highlight w:val="none"/>
                <w:lang w:val="en-US" w:eastAsia="zh-CN" w:bidi="ar-SA"/>
              </w:rPr>
              <w:t>2</w:t>
            </w:r>
            <w:r>
              <w:rPr>
                <w:rFonts w:hint="eastAsia" w:ascii="宋体" w:hAnsi="宋体" w:eastAsia="宋体" w:cs="宋体"/>
                <w:color w:val="auto"/>
                <w:kern w:val="2"/>
                <w:sz w:val="24"/>
                <w:szCs w:val="24"/>
                <w:highlight w:val="none"/>
                <w:lang w:val="en-US" w:eastAsia="zh-CN" w:bidi="ar-SA"/>
              </w:rPr>
              <w:t>分，满足1项的得</w:t>
            </w:r>
            <w:r>
              <w:rPr>
                <w:rFonts w:hint="eastAsia" w:ascii="宋体" w:hAnsi="宋体" w:cs="宋体"/>
                <w:color w:val="auto"/>
                <w:kern w:val="2"/>
                <w:sz w:val="24"/>
                <w:szCs w:val="24"/>
                <w:highlight w:val="none"/>
                <w:lang w:val="en-US" w:eastAsia="zh-CN" w:bidi="ar-SA"/>
              </w:rPr>
              <w:t>1</w:t>
            </w:r>
            <w:r>
              <w:rPr>
                <w:rFonts w:hint="eastAsia" w:ascii="宋体" w:hAnsi="宋体" w:eastAsia="宋体" w:cs="宋体"/>
                <w:color w:val="auto"/>
                <w:kern w:val="2"/>
                <w:sz w:val="24"/>
                <w:szCs w:val="24"/>
                <w:highlight w:val="none"/>
                <w:lang w:val="en-US" w:eastAsia="zh-CN" w:bidi="ar-SA"/>
              </w:rPr>
              <w:t>分，其他情况不得分。</w:t>
            </w:r>
          </w:p>
        </w:tc>
      </w:tr>
      <w:tr w14:paraId="3A56D3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472" w:type="dxa"/>
            <w:vMerge w:val="continue"/>
            <w:noWrap w:val="0"/>
            <w:vAlign w:val="center"/>
          </w:tcPr>
          <w:p w14:paraId="2E4098ED">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color w:val="auto"/>
                <w:sz w:val="24"/>
                <w:szCs w:val="24"/>
                <w:highlight w:val="none"/>
              </w:rPr>
            </w:pPr>
          </w:p>
        </w:tc>
        <w:tc>
          <w:tcPr>
            <w:tcW w:w="729" w:type="dxa"/>
            <w:shd w:val="clear" w:color="auto" w:fill="auto"/>
            <w:noWrap w:val="0"/>
            <w:vAlign w:val="center"/>
          </w:tcPr>
          <w:p w14:paraId="5012182B">
            <w:pPr>
              <w:tabs>
                <w:tab w:val="left" w:pos="420"/>
                <w:tab w:val="left" w:pos="525"/>
                <w:tab w:val="left" w:pos="630"/>
                <w:tab w:val="left" w:pos="735"/>
              </w:tabs>
              <w:spacing w:line="410" w:lineRule="exact"/>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服务质量保证措施</w:t>
            </w:r>
          </w:p>
        </w:tc>
        <w:tc>
          <w:tcPr>
            <w:tcW w:w="559" w:type="dxa"/>
            <w:shd w:val="clear" w:color="auto" w:fill="auto"/>
            <w:noWrap w:val="0"/>
            <w:vAlign w:val="center"/>
          </w:tcPr>
          <w:p w14:paraId="6200A553">
            <w:pPr>
              <w:tabs>
                <w:tab w:val="left" w:pos="420"/>
                <w:tab w:val="left" w:pos="525"/>
                <w:tab w:val="left" w:pos="630"/>
                <w:tab w:val="left" w:pos="735"/>
              </w:tabs>
              <w:spacing w:line="410" w:lineRule="exact"/>
              <w:rPr>
                <w:rFonts w:hint="eastAsia" w:ascii="宋体" w:hAnsi="宋体" w:eastAsia="宋体" w:cs="宋体"/>
                <w:color w:val="auto"/>
                <w:kern w:val="2"/>
                <w:sz w:val="24"/>
                <w:szCs w:val="24"/>
                <w:highlight w:val="none"/>
                <w:lang w:val="en-US" w:eastAsia="zh-CN" w:bidi="ar-SA"/>
              </w:rPr>
            </w:pPr>
            <w:r>
              <w:rPr>
                <w:rFonts w:hint="eastAsia" w:ascii="宋体" w:hAnsi="宋体" w:cs="宋体"/>
                <w:color w:val="auto"/>
                <w:sz w:val="24"/>
                <w:szCs w:val="24"/>
                <w:highlight w:val="none"/>
                <w:lang w:val="en-US" w:eastAsia="zh-CN"/>
              </w:rPr>
              <w:t>6</w:t>
            </w:r>
            <w:r>
              <w:rPr>
                <w:rFonts w:hint="eastAsia" w:ascii="宋体" w:hAnsi="宋体" w:eastAsia="宋体" w:cs="宋体"/>
                <w:color w:val="auto"/>
                <w:sz w:val="24"/>
                <w:szCs w:val="24"/>
                <w:highlight w:val="none"/>
                <w:lang w:val="en-US" w:eastAsia="zh-CN"/>
              </w:rPr>
              <w:t>分</w:t>
            </w:r>
          </w:p>
        </w:tc>
        <w:tc>
          <w:tcPr>
            <w:tcW w:w="7991" w:type="dxa"/>
            <w:shd w:val="clear" w:color="auto" w:fill="auto"/>
            <w:noWrap w:val="0"/>
            <w:vAlign w:val="center"/>
          </w:tcPr>
          <w:p w14:paraId="26A1DBDD">
            <w:pPr>
              <w:tabs>
                <w:tab w:val="left" w:pos="420"/>
                <w:tab w:val="left" w:pos="525"/>
                <w:tab w:val="left" w:pos="630"/>
                <w:tab w:val="left" w:pos="735"/>
              </w:tabs>
              <w:spacing w:line="410" w:lineRule="exact"/>
              <w:rPr>
                <w:rFonts w:hint="eastAsia" w:ascii="宋体" w:hAnsi="宋体" w:cs="宋体"/>
                <w:color w:val="auto"/>
                <w:kern w:val="2"/>
                <w:sz w:val="24"/>
                <w:szCs w:val="24"/>
                <w:highlight w:val="none"/>
                <w:lang w:val="en-US" w:eastAsia="zh-CN" w:bidi="ar-SA"/>
              </w:rPr>
            </w:pPr>
            <w:r>
              <w:rPr>
                <w:rFonts w:hint="eastAsia" w:ascii="宋体" w:hAnsi="宋体" w:cs="宋体"/>
                <w:color w:val="auto"/>
                <w:kern w:val="2"/>
                <w:sz w:val="24"/>
                <w:szCs w:val="24"/>
                <w:highlight w:val="none"/>
                <w:lang w:val="en-US" w:eastAsia="zh-CN" w:bidi="ar-SA"/>
              </w:rPr>
              <w:t>一、评审内容</w:t>
            </w:r>
          </w:p>
          <w:p w14:paraId="5497EF7E">
            <w:pPr>
              <w:tabs>
                <w:tab w:val="left" w:pos="420"/>
                <w:tab w:val="left" w:pos="525"/>
                <w:tab w:val="left" w:pos="630"/>
                <w:tab w:val="left" w:pos="735"/>
              </w:tabs>
              <w:spacing w:line="410" w:lineRule="exact"/>
              <w:rPr>
                <w:rFonts w:hint="eastAsia" w:ascii="宋体" w:hAnsi="宋体" w:eastAsia="宋体" w:cs="宋体"/>
                <w:color w:val="auto"/>
                <w:kern w:val="2"/>
                <w:sz w:val="24"/>
                <w:szCs w:val="24"/>
                <w:highlight w:val="none"/>
                <w:lang w:val="en-US" w:eastAsia="zh-CN" w:bidi="ar-SA"/>
              </w:rPr>
            </w:pPr>
            <w:r>
              <w:rPr>
                <w:rFonts w:hint="eastAsia" w:ascii="宋体" w:hAnsi="宋体" w:cs="宋体"/>
                <w:color w:val="auto"/>
                <w:kern w:val="2"/>
                <w:sz w:val="24"/>
                <w:szCs w:val="24"/>
                <w:highlight w:val="none"/>
                <w:lang w:val="en-US" w:eastAsia="zh-CN" w:bidi="ar-SA"/>
              </w:rPr>
              <w:t>根据供应商提供的</w:t>
            </w:r>
            <w:r>
              <w:rPr>
                <w:rFonts w:hint="eastAsia" w:ascii="宋体" w:hAnsi="宋体" w:eastAsia="宋体" w:cs="宋体"/>
                <w:color w:val="auto"/>
                <w:sz w:val="24"/>
                <w:szCs w:val="24"/>
                <w:highlight w:val="none"/>
              </w:rPr>
              <w:t>服务质量保证措施</w:t>
            </w:r>
            <w:r>
              <w:rPr>
                <w:rFonts w:hint="eastAsia" w:ascii="宋体" w:hAnsi="宋体" w:cs="宋体"/>
                <w:color w:val="auto"/>
                <w:sz w:val="24"/>
                <w:szCs w:val="24"/>
                <w:highlight w:val="none"/>
                <w:lang w:eastAsia="zh-CN"/>
              </w:rPr>
              <w:t>进行评审</w:t>
            </w:r>
            <w:r>
              <w:rPr>
                <w:rFonts w:hint="eastAsia" w:ascii="宋体" w:hAnsi="宋体" w:cs="宋体"/>
                <w:color w:val="auto"/>
                <w:kern w:val="2"/>
                <w:sz w:val="24"/>
                <w:szCs w:val="24"/>
                <w:highlight w:val="none"/>
                <w:lang w:val="en-US" w:eastAsia="zh-CN" w:bidi="ar-SA"/>
              </w:rPr>
              <w:t>，内容包括但不限于：①</w:t>
            </w:r>
            <w:r>
              <w:rPr>
                <w:rFonts w:hint="eastAsia" w:ascii="宋体" w:hAnsi="宋体" w:eastAsia="宋体" w:cs="宋体"/>
                <w:color w:val="auto"/>
                <w:sz w:val="24"/>
                <w:szCs w:val="24"/>
                <w:highlight w:val="none"/>
              </w:rPr>
              <w:t>质量考核办法</w:t>
            </w:r>
            <w:r>
              <w:rPr>
                <w:rFonts w:hint="eastAsia" w:ascii="宋体" w:hAnsi="宋体" w:cs="宋体"/>
                <w:color w:val="auto"/>
                <w:kern w:val="2"/>
                <w:sz w:val="24"/>
                <w:szCs w:val="24"/>
                <w:highlight w:val="none"/>
                <w:lang w:val="en-US" w:eastAsia="zh-CN" w:bidi="ar-SA"/>
              </w:rPr>
              <w:t>（3分）；②</w:t>
            </w:r>
            <w:r>
              <w:rPr>
                <w:rFonts w:hint="eastAsia" w:ascii="宋体" w:hAnsi="宋体" w:eastAsia="宋体" w:cs="宋体"/>
                <w:color w:val="auto"/>
                <w:sz w:val="24"/>
                <w:szCs w:val="24"/>
                <w:highlight w:val="none"/>
              </w:rPr>
              <w:t>服务质量保证措施</w:t>
            </w:r>
            <w:r>
              <w:rPr>
                <w:rFonts w:hint="eastAsia" w:ascii="宋体" w:hAnsi="宋体" w:cs="宋体"/>
                <w:color w:val="auto"/>
                <w:kern w:val="2"/>
                <w:sz w:val="24"/>
                <w:szCs w:val="24"/>
                <w:highlight w:val="none"/>
                <w:lang w:val="en-US" w:eastAsia="zh-CN" w:bidi="ar-SA"/>
              </w:rPr>
              <w:t>（3分）；</w:t>
            </w:r>
          </w:p>
          <w:p w14:paraId="2DDFEEA9">
            <w:pPr>
              <w:tabs>
                <w:tab w:val="left" w:pos="420"/>
                <w:tab w:val="left" w:pos="525"/>
                <w:tab w:val="left" w:pos="630"/>
                <w:tab w:val="left" w:pos="735"/>
              </w:tabs>
              <w:spacing w:line="410" w:lineRule="exact"/>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二、评审标准</w:t>
            </w:r>
          </w:p>
          <w:p w14:paraId="4EC1B5C7">
            <w:pPr>
              <w:tabs>
                <w:tab w:val="left" w:pos="420"/>
                <w:tab w:val="left" w:pos="525"/>
                <w:tab w:val="left" w:pos="630"/>
                <w:tab w:val="left" w:pos="735"/>
              </w:tabs>
              <w:spacing w:line="410" w:lineRule="exact"/>
              <w:rPr>
                <w:rFonts w:hint="eastAsia" w:ascii="宋体" w:hAnsi="宋体" w:eastAsia="宋体" w:cs="宋体"/>
                <w:color w:val="auto"/>
                <w:kern w:val="2"/>
                <w:sz w:val="24"/>
                <w:szCs w:val="24"/>
                <w:highlight w:val="none"/>
                <w:lang w:val="en-US" w:eastAsia="zh-CN" w:bidi="ar-SA"/>
              </w:rPr>
            </w:pPr>
            <w:r>
              <w:rPr>
                <w:rFonts w:hint="eastAsia" w:ascii="宋体" w:hAnsi="宋体" w:cs="宋体"/>
                <w:color w:val="auto"/>
                <w:kern w:val="2"/>
                <w:sz w:val="24"/>
                <w:szCs w:val="24"/>
                <w:highlight w:val="none"/>
                <w:lang w:val="en-US" w:eastAsia="zh-CN" w:bidi="ar-SA"/>
              </w:rPr>
              <w:t>（1）</w:t>
            </w:r>
            <w:r>
              <w:rPr>
                <w:rFonts w:hint="eastAsia" w:ascii="宋体" w:hAnsi="宋体" w:eastAsia="宋体" w:cs="宋体"/>
                <w:color w:val="auto"/>
                <w:kern w:val="2"/>
                <w:sz w:val="24"/>
                <w:szCs w:val="24"/>
                <w:highlight w:val="none"/>
                <w:lang w:val="en-US" w:eastAsia="zh-CN" w:bidi="ar-SA"/>
              </w:rPr>
              <w:t>完整性：评审内容完整、方案要素齐全，有详细的理解和阐述；</w:t>
            </w:r>
          </w:p>
          <w:p w14:paraId="5C706A80">
            <w:pPr>
              <w:tabs>
                <w:tab w:val="left" w:pos="420"/>
                <w:tab w:val="left" w:pos="525"/>
                <w:tab w:val="left" w:pos="630"/>
                <w:tab w:val="left" w:pos="735"/>
              </w:tabs>
              <w:spacing w:line="410" w:lineRule="exact"/>
              <w:rPr>
                <w:rFonts w:hint="eastAsia" w:ascii="宋体" w:hAnsi="宋体" w:eastAsia="宋体" w:cs="宋体"/>
                <w:color w:val="auto"/>
                <w:kern w:val="2"/>
                <w:sz w:val="24"/>
                <w:szCs w:val="24"/>
                <w:highlight w:val="none"/>
                <w:lang w:val="en-US" w:eastAsia="zh-CN" w:bidi="ar-SA"/>
              </w:rPr>
            </w:pPr>
            <w:r>
              <w:rPr>
                <w:rFonts w:hint="eastAsia" w:ascii="宋体" w:hAnsi="宋体" w:cs="宋体"/>
                <w:color w:val="auto"/>
                <w:kern w:val="2"/>
                <w:sz w:val="24"/>
                <w:szCs w:val="24"/>
                <w:highlight w:val="none"/>
                <w:lang w:val="en-US" w:eastAsia="zh-CN" w:bidi="ar-SA"/>
              </w:rPr>
              <w:t>（2）</w:t>
            </w:r>
            <w:r>
              <w:rPr>
                <w:rFonts w:hint="eastAsia" w:ascii="宋体" w:hAnsi="宋体" w:eastAsia="宋体" w:cs="宋体"/>
                <w:color w:val="auto"/>
                <w:kern w:val="2"/>
                <w:sz w:val="24"/>
                <w:szCs w:val="24"/>
                <w:highlight w:val="none"/>
                <w:lang w:val="en-US" w:eastAsia="zh-CN" w:bidi="ar-SA"/>
              </w:rPr>
              <w:t>合理性：总体思路清晰，服务方案逻辑严谨，能够准确把握项目的目的、意图和需求，可行性高；</w:t>
            </w:r>
          </w:p>
          <w:p w14:paraId="4D076145">
            <w:pPr>
              <w:tabs>
                <w:tab w:val="left" w:pos="420"/>
                <w:tab w:val="left" w:pos="525"/>
                <w:tab w:val="left" w:pos="630"/>
                <w:tab w:val="left" w:pos="735"/>
              </w:tabs>
              <w:spacing w:line="410" w:lineRule="exact"/>
              <w:rPr>
                <w:rFonts w:hint="eastAsia" w:ascii="宋体" w:hAnsi="宋体" w:eastAsia="宋体" w:cs="宋体"/>
                <w:color w:val="auto"/>
                <w:kern w:val="2"/>
                <w:sz w:val="24"/>
                <w:szCs w:val="24"/>
                <w:highlight w:val="none"/>
                <w:lang w:val="en-US" w:eastAsia="zh-CN" w:bidi="ar-SA"/>
              </w:rPr>
            </w:pPr>
            <w:r>
              <w:rPr>
                <w:rFonts w:hint="eastAsia" w:ascii="宋体" w:hAnsi="宋体" w:cs="宋体"/>
                <w:color w:val="auto"/>
                <w:kern w:val="2"/>
                <w:sz w:val="24"/>
                <w:szCs w:val="24"/>
                <w:highlight w:val="none"/>
                <w:lang w:val="en-US" w:eastAsia="zh-CN" w:bidi="ar-SA"/>
              </w:rPr>
              <w:t>（3）</w:t>
            </w:r>
            <w:r>
              <w:rPr>
                <w:rFonts w:hint="eastAsia" w:ascii="宋体" w:hAnsi="宋体" w:eastAsia="宋体" w:cs="宋体"/>
                <w:color w:val="auto"/>
                <w:kern w:val="2"/>
                <w:sz w:val="24"/>
                <w:szCs w:val="24"/>
                <w:highlight w:val="none"/>
                <w:lang w:val="en-US" w:eastAsia="zh-CN" w:bidi="ar-SA"/>
              </w:rPr>
              <w:t>针对性：符合本项目实际情况，可操作性强，有实用性、有针对性；</w:t>
            </w:r>
          </w:p>
          <w:p w14:paraId="72EA9AE0">
            <w:pPr>
              <w:tabs>
                <w:tab w:val="left" w:pos="420"/>
                <w:tab w:val="left" w:pos="525"/>
                <w:tab w:val="left" w:pos="630"/>
                <w:tab w:val="left" w:pos="735"/>
              </w:tabs>
              <w:spacing w:line="410" w:lineRule="exact"/>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对上述</w:t>
            </w:r>
            <w:r>
              <w:rPr>
                <w:rFonts w:hint="eastAsia" w:ascii="宋体" w:hAnsi="宋体" w:cs="宋体"/>
                <w:color w:val="auto"/>
                <w:kern w:val="2"/>
                <w:sz w:val="24"/>
                <w:szCs w:val="24"/>
                <w:highlight w:val="none"/>
                <w:lang w:val="en-US" w:eastAsia="zh-CN" w:bidi="ar-SA"/>
              </w:rPr>
              <w:t>2</w:t>
            </w:r>
            <w:r>
              <w:rPr>
                <w:rFonts w:hint="eastAsia" w:ascii="宋体" w:hAnsi="宋体" w:eastAsia="宋体" w:cs="宋体"/>
                <w:color w:val="auto"/>
                <w:kern w:val="2"/>
                <w:sz w:val="24"/>
                <w:szCs w:val="24"/>
                <w:highlight w:val="none"/>
                <w:lang w:val="en-US" w:eastAsia="zh-CN" w:bidi="ar-SA"/>
              </w:rPr>
              <w:t>项评审内容进行打分，每项评审内容完全满足3项评审标准的得</w:t>
            </w:r>
            <w:r>
              <w:rPr>
                <w:rFonts w:hint="eastAsia" w:ascii="宋体" w:hAnsi="宋体" w:cs="宋体"/>
                <w:color w:val="auto"/>
                <w:kern w:val="2"/>
                <w:sz w:val="24"/>
                <w:szCs w:val="24"/>
                <w:highlight w:val="none"/>
                <w:lang w:val="en-US" w:eastAsia="zh-CN" w:bidi="ar-SA"/>
              </w:rPr>
              <w:t>3</w:t>
            </w:r>
            <w:r>
              <w:rPr>
                <w:rFonts w:hint="eastAsia" w:ascii="宋体" w:hAnsi="宋体" w:eastAsia="宋体" w:cs="宋体"/>
                <w:color w:val="auto"/>
                <w:kern w:val="2"/>
                <w:sz w:val="24"/>
                <w:szCs w:val="24"/>
                <w:highlight w:val="none"/>
                <w:lang w:val="en-US" w:eastAsia="zh-CN" w:bidi="ar-SA"/>
              </w:rPr>
              <w:t>分，满足2项的得</w:t>
            </w:r>
            <w:r>
              <w:rPr>
                <w:rFonts w:hint="eastAsia" w:ascii="宋体" w:hAnsi="宋体" w:cs="宋体"/>
                <w:color w:val="auto"/>
                <w:kern w:val="2"/>
                <w:sz w:val="24"/>
                <w:szCs w:val="24"/>
                <w:highlight w:val="none"/>
                <w:lang w:val="en-US" w:eastAsia="zh-CN" w:bidi="ar-SA"/>
              </w:rPr>
              <w:t>2</w:t>
            </w:r>
            <w:r>
              <w:rPr>
                <w:rFonts w:hint="eastAsia" w:ascii="宋体" w:hAnsi="宋体" w:eastAsia="宋体" w:cs="宋体"/>
                <w:color w:val="auto"/>
                <w:kern w:val="2"/>
                <w:sz w:val="24"/>
                <w:szCs w:val="24"/>
                <w:highlight w:val="none"/>
                <w:lang w:val="en-US" w:eastAsia="zh-CN" w:bidi="ar-SA"/>
              </w:rPr>
              <w:t>分，满足1项的得</w:t>
            </w:r>
            <w:r>
              <w:rPr>
                <w:rFonts w:hint="eastAsia" w:ascii="宋体" w:hAnsi="宋体" w:cs="宋体"/>
                <w:color w:val="auto"/>
                <w:kern w:val="2"/>
                <w:sz w:val="24"/>
                <w:szCs w:val="24"/>
                <w:highlight w:val="none"/>
                <w:lang w:val="en-US" w:eastAsia="zh-CN" w:bidi="ar-SA"/>
              </w:rPr>
              <w:t>1</w:t>
            </w:r>
            <w:r>
              <w:rPr>
                <w:rFonts w:hint="eastAsia" w:ascii="宋体" w:hAnsi="宋体" w:eastAsia="宋体" w:cs="宋体"/>
                <w:color w:val="auto"/>
                <w:kern w:val="2"/>
                <w:sz w:val="24"/>
                <w:szCs w:val="24"/>
                <w:highlight w:val="none"/>
                <w:lang w:val="en-US" w:eastAsia="zh-CN" w:bidi="ar-SA"/>
              </w:rPr>
              <w:t>分，其他情况不得分。</w:t>
            </w:r>
          </w:p>
        </w:tc>
      </w:tr>
      <w:tr w14:paraId="659A94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472" w:type="dxa"/>
            <w:vMerge w:val="continue"/>
            <w:noWrap w:val="0"/>
            <w:vAlign w:val="center"/>
          </w:tcPr>
          <w:p w14:paraId="5567F5BE">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color w:val="auto"/>
                <w:sz w:val="24"/>
                <w:szCs w:val="24"/>
                <w:highlight w:val="none"/>
              </w:rPr>
            </w:pPr>
          </w:p>
        </w:tc>
        <w:tc>
          <w:tcPr>
            <w:tcW w:w="729" w:type="dxa"/>
            <w:shd w:val="clear" w:color="auto" w:fill="auto"/>
            <w:noWrap w:val="0"/>
            <w:vAlign w:val="center"/>
          </w:tcPr>
          <w:p w14:paraId="2DD96F62">
            <w:pPr>
              <w:tabs>
                <w:tab w:val="left" w:pos="420"/>
                <w:tab w:val="left" w:pos="525"/>
                <w:tab w:val="left" w:pos="630"/>
                <w:tab w:val="left" w:pos="735"/>
              </w:tabs>
              <w:spacing w:line="410" w:lineRule="exact"/>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服务安全保证措施</w:t>
            </w:r>
          </w:p>
        </w:tc>
        <w:tc>
          <w:tcPr>
            <w:tcW w:w="559" w:type="dxa"/>
            <w:shd w:val="clear" w:color="auto" w:fill="auto"/>
            <w:noWrap w:val="0"/>
            <w:vAlign w:val="center"/>
          </w:tcPr>
          <w:p w14:paraId="5875ABD7">
            <w:pPr>
              <w:tabs>
                <w:tab w:val="left" w:pos="420"/>
                <w:tab w:val="left" w:pos="525"/>
                <w:tab w:val="left" w:pos="630"/>
                <w:tab w:val="left" w:pos="735"/>
              </w:tabs>
              <w:spacing w:line="410" w:lineRule="exact"/>
              <w:rPr>
                <w:rFonts w:hint="eastAsia" w:ascii="宋体" w:hAnsi="宋体" w:eastAsia="宋体" w:cs="宋体"/>
                <w:color w:val="auto"/>
                <w:kern w:val="2"/>
                <w:sz w:val="24"/>
                <w:szCs w:val="24"/>
                <w:highlight w:val="none"/>
                <w:lang w:val="en-US" w:eastAsia="zh-CN" w:bidi="ar-SA"/>
              </w:rPr>
            </w:pPr>
            <w:r>
              <w:rPr>
                <w:rFonts w:hint="eastAsia" w:ascii="宋体" w:hAnsi="宋体" w:cs="宋体"/>
                <w:color w:val="auto"/>
                <w:sz w:val="24"/>
                <w:szCs w:val="24"/>
                <w:highlight w:val="none"/>
                <w:lang w:val="en-US" w:eastAsia="zh-CN"/>
              </w:rPr>
              <w:t>9</w:t>
            </w:r>
            <w:r>
              <w:rPr>
                <w:rFonts w:hint="eastAsia" w:ascii="宋体" w:hAnsi="宋体" w:eastAsia="宋体" w:cs="宋体"/>
                <w:color w:val="auto"/>
                <w:sz w:val="24"/>
                <w:szCs w:val="24"/>
                <w:highlight w:val="none"/>
                <w:lang w:val="en-US" w:eastAsia="zh-CN"/>
              </w:rPr>
              <w:t>分</w:t>
            </w:r>
          </w:p>
        </w:tc>
        <w:tc>
          <w:tcPr>
            <w:tcW w:w="7991" w:type="dxa"/>
            <w:shd w:val="clear" w:color="auto" w:fill="auto"/>
            <w:noWrap w:val="0"/>
            <w:vAlign w:val="center"/>
          </w:tcPr>
          <w:p w14:paraId="209F3076">
            <w:pPr>
              <w:tabs>
                <w:tab w:val="left" w:pos="420"/>
                <w:tab w:val="left" w:pos="525"/>
                <w:tab w:val="left" w:pos="630"/>
                <w:tab w:val="left" w:pos="735"/>
              </w:tabs>
              <w:spacing w:line="410" w:lineRule="exact"/>
              <w:rPr>
                <w:rFonts w:hint="eastAsia" w:ascii="宋体" w:hAnsi="宋体" w:cs="宋体"/>
                <w:color w:val="auto"/>
                <w:kern w:val="2"/>
                <w:sz w:val="24"/>
                <w:szCs w:val="24"/>
                <w:highlight w:val="none"/>
                <w:lang w:val="en-US" w:eastAsia="zh-CN" w:bidi="ar-SA"/>
              </w:rPr>
            </w:pPr>
            <w:r>
              <w:rPr>
                <w:rFonts w:hint="eastAsia" w:ascii="宋体" w:hAnsi="宋体" w:cs="宋体"/>
                <w:color w:val="auto"/>
                <w:kern w:val="2"/>
                <w:sz w:val="24"/>
                <w:szCs w:val="24"/>
                <w:highlight w:val="none"/>
                <w:lang w:val="en-US" w:eastAsia="zh-CN" w:bidi="ar-SA"/>
              </w:rPr>
              <w:t>一、评审内容</w:t>
            </w:r>
          </w:p>
          <w:p w14:paraId="43E60359">
            <w:pPr>
              <w:tabs>
                <w:tab w:val="left" w:pos="420"/>
                <w:tab w:val="left" w:pos="525"/>
                <w:tab w:val="left" w:pos="630"/>
                <w:tab w:val="left" w:pos="735"/>
              </w:tabs>
              <w:spacing w:line="410" w:lineRule="exact"/>
              <w:rPr>
                <w:rFonts w:hint="eastAsia" w:ascii="宋体" w:hAnsi="宋体" w:eastAsia="宋体" w:cs="宋体"/>
                <w:color w:val="auto"/>
                <w:kern w:val="2"/>
                <w:sz w:val="24"/>
                <w:szCs w:val="24"/>
                <w:highlight w:val="none"/>
                <w:lang w:val="en-US" w:eastAsia="zh-CN" w:bidi="ar-SA"/>
              </w:rPr>
            </w:pPr>
            <w:r>
              <w:rPr>
                <w:rFonts w:hint="eastAsia" w:ascii="宋体" w:hAnsi="宋体" w:cs="宋体"/>
                <w:color w:val="auto"/>
                <w:kern w:val="2"/>
                <w:sz w:val="24"/>
                <w:szCs w:val="24"/>
                <w:highlight w:val="none"/>
                <w:lang w:val="en-US" w:eastAsia="zh-CN" w:bidi="ar-SA"/>
              </w:rPr>
              <w:t>根据供应商提供的</w:t>
            </w:r>
            <w:r>
              <w:rPr>
                <w:rFonts w:hint="eastAsia" w:ascii="宋体" w:hAnsi="宋体" w:eastAsia="宋体" w:cs="宋体"/>
                <w:color w:val="auto"/>
                <w:sz w:val="24"/>
                <w:szCs w:val="24"/>
                <w:highlight w:val="none"/>
              </w:rPr>
              <w:t>服务安全保证措施</w:t>
            </w:r>
            <w:r>
              <w:rPr>
                <w:rFonts w:hint="eastAsia" w:ascii="宋体" w:hAnsi="宋体" w:cs="宋体"/>
                <w:color w:val="auto"/>
                <w:sz w:val="24"/>
                <w:szCs w:val="24"/>
                <w:highlight w:val="none"/>
                <w:lang w:eastAsia="zh-CN"/>
              </w:rPr>
              <w:t>进行评审</w:t>
            </w:r>
            <w:r>
              <w:rPr>
                <w:rFonts w:hint="eastAsia" w:ascii="宋体" w:hAnsi="宋体" w:cs="宋体"/>
                <w:color w:val="auto"/>
                <w:kern w:val="2"/>
                <w:sz w:val="24"/>
                <w:szCs w:val="24"/>
                <w:highlight w:val="none"/>
                <w:lang w:val="en-US" w:eastAsia="zh-CN" w:bidi="ar-SA"/>
              </w:rPr>
              <w:t>，内容包括但不限于：①</w:t>
            </w:r>
            <w:r>
              <w:rPr>
                <w:rFonts w:hint="eastAsia" w:ascii="宋体" w:hAnsi="宋体" w:eastAsia="宋体" w:cs="宋体"/>
                <w:color w:val="auto"/>
                <w:sz w:val="24"/>
                <w:szCs w:val="24"/>
                <w:highlight w:val="none"/>
              </w:rPr>
              <w:t>项目安全作业</w:t>
            </w:r>
            <w:r>
              <w:rPr>
                <w:rFonts w:hint="eastAsia" w:ascii="宋体" w:hAnsi="宋体" w:cs="宋体"/>
                <w:color w:val="auto"/>
                <w:kern w:val="2"/>
                <w:sz w:val="24"/>
                <w:szCs w:val="24"/>
                <w:highlight w:val="none"/>
                <w:lang w:val="en-US" w:eastAsia="zh-CN" w:bidi="ar-SA"/>
              </w:rPr>
              <w:t>（3分）；②</w:t>
            </w:r>
            <w:r>
              <w:rPr>
                <w:rFonts w:hint="eastAsia" w:ascii="宋体" w:hAnsi="宋体" w:eastAsia="宋体" w:cs="宋体"/>
                <w:color w:val="auto"/>
                <w:sz w:val="24"/>
                <w:szCs w:val="24"/>
                <w:highlight w:val="none"/>
              </w:rPr>
              <w:t>劳动保障方案</w:t>
            </w:r>
            <w:r>
              <w:rPr>
                <w:rFonts w:hint="eastAsia" w:ascii="宋体" w:hAnsi="宋体" w:cs="宋体"/>
                <w:color w:val="auto"/>
                <w:kern w:val="2"/>
                <w:sz w:val="24"/>
                <w:szCs w:val="24"/>
                <w:highlight w:val="none"/>
                <w:lang w:val="en-US" w:eastAsia="zh-CN" w:bidi="ar-SA"/>
              </w:rPr>
              <w:t>（3分）；③</w:t>
            </w:r>
            <w:r>
              <w:rPr>
                <w:rFonts w:hint="eastAsia" w:ascii="宋体" w:hAnsi="宋体" w:eastAsia="宋体" w:cs="宋体"/>
                <w:color w:val="auto"/>
                <w:sz w:val="24"/>
                <w:szCs w:val="24"/>
                <w:highlight w:val="none"/>
              </w:rPr>
              <w:t>员工保障方案</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lang w:val="en-US" w:eastAsia="zh-CN"/>
              </w:rPr>
              <w:t>3分</w:t>
            </w:r>
            <w:r>
              <w:rPr>
                <w:rFonts w:hint="eastAsia" w:ascii="宋体" w:hAnsi="宋体" w:cs="宋体"/>
                <w:color w:val="auto"/>
                <w:sz w:val="24"/>
                <w:szCs w:val="24"/>
                <w:highlight w:val="none"/>
                <w:lang w:eastAsia="zh-CN"/>
              </w:rPr>
              <w:t>）。</w:t>
            </w:r>
          </w:p>
          <w:p w14:paraId="4036B8BE">
            <w:pPr>
              <w:tabs>
                <w:tab w:val="left" w:pos="420"/>
                <w:tab w:val="left" w:pos="525"/>
                <w:tab w:val="left" w:pos="630"/>
                <w:tab w:val="left" w:pos="735"/>
              </w:tabs>
              <w:spacing w:line="410" w:lineRule="exact"/>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二、评审标准</w:t>
            </w:r>
          </w:p>
          <w:p w14:paraId="4A5D4BB7">
            <w:pPr>
              <w:tabs>
                <w:tab w:val="left" w:pos="420"/>
                <w:tab w:val="left" w:pos="525"/>
                <w:tab w:val="left" w:pos="630"/>
                <w:tab w:val="left" w:pos="735"/>
              </w:tabs>
              <w:spacing w:line="410" w:lineRule="exact"/>
              <w:rPr>
                <w:rFonts w:hint="eastAsia" w:ascii="宋体" w:hAnsi="宋体" w:eastAsia="宋体" w:cs="宋体"/>
                <w:color w:val="auto"/>
                <w:kern w:val="2"/>
                <w:sz w:val="24"/>
                <w:szCs w:val="24"/>
                <w:highlight w:val="none"/>
                <w:lang w:val="en-US" w:eastAsia="zh-CN" w:bidi="ar-SA"/>
              </w:rPr>
            </w:pPr>
            <w:r>
              <w:rPr>
                <w:rFonts w:hint="eastAsia" w:ascii="宋体" w:hAnsi="宋体" w:cs="宋体"/>
                <w:color w:val="auto"/>
                <w:kern w:val="2"/>
                <w:sz w:val="24"/>
                <w:szCs w:val="24"/>
                <w:highlight w:val="none"/>
                <w:lang w:val="en-US" w:eastAsia="zh-CN" w:bidi="ar-SA"/>
              </w:rPr>
              <w:t>（1）</w:t>
            </w:r>
            <w:r>
              <w:rPr>
                <w:rFonts w:hint="eastAsia" w:ascii="宋体" w:hAnsi="宋体" w:eastAsia="宋体" w:cs="宋体"/>
                <w:color w:val="auto"/>
                <w:kern w:val="2"/>
                <w:sz w:val="24"/>
                <w:szCs w:val="24"/>
                <w:highlight w:val="none"/>
                <w:lang w:val="en-US" w:eastAsia="zh-CN" w:bidi="ar-SA"/>
              </w:rPr>
              <w:t>完整性：评审内容完整、方案要素齐全，有详细的理解和阐述；</w:t>
            </w:r>
          </w:p>
          <w:p w14:paraId="403992AE">
            <w:pPr>
              <w:tabs>
                <w:tab w:val="left" w:pos="420"/>
                <w:tab w:val="left" w:pos="525"/>
                <w:tab w:val="left" w:pos="630"/>
                <w:tab w:val="left" w:pos="735"/>
              </w:tabs>
              <w:spacing w:line="410" w:lineRule="exact"/>
              <w:rPr>
                <w:rFonts w:hint="eastAsia" w:ascii="宋体" w:hAnsi="宋体" w:eastAsia="宋体" w:cs="宋体"/>
                <w:color w:val="auto"/>
                <w:kern w:val="2"/>
                <w:sz w:val="24"/>
                <w:szCs w:val="24"/>
                <w:highlight w:val="none"/>
                <w:lang w:val="en-US" w:eastAsia="zh-CN" w:bidi="ar-SA"/>
              </w:rPr>
            </w:pPr>
            <w:r>
              <w:rPr>
                <w:rFonts w:hint="eastAsia" w:ascii="宋体" w:hAnsi="宋体" w:cs="宋体"/>
                <w:color w:val="auto"/>
                <w:kern w:val="2"/>
                <w:sz w:val="24"/>
                <w:szCs w:val="24"/>
                <w:highlight w:val="none"/>
                <w:lang w:val="en-US" w:eastAsia="zh-CN" w:bidi="ar-SA"/>
              </w:rPr>
              <w:t>（2）</w:t>
            </w:r>
            <w:r>
              <w:rPr>
                <w:rFonts w:hint="eastAsia" w:ascii="宋体" w:hAnsi="宋体" w:eastAsia="宋体" w:cs="宋体"/>
                <w:color w:val="auto"/>
                <w:kern w:val="2"/>
                <w:sz w:val="24"/>
                <w:szCs w:val="24"/>
                <w:highlight w:val="none"/>
                <w:lang w:val="en-US" w:eastAsia="zh-CN" w:bidi="ar-SA"/>
              </w:rPr>
              <w:t>合理性：总体思路清晰，服务方案逻辑严谨，能够准确把握项目的目的、意图和需求，可行性高；</w:t>
            </w:r>
          </w:p>
          <w:p w14:paraId="4EE8AD72">
            <w:pPr>
              <w:tabs>
                <w:tab w:val="left" w:pos="420"/>
                <w:tab w:val="left" w:pos="525"/>
                <w:tab w:val="left" w:pos="630"/>
                <w:tab w:val="left" w:pos="735"/>
              </w:tabs>
              <w:spacing w:line="410" w:lineRule="exact"/>
              <w:rPr>
                <w:rFonts w:hint="eastAsia" w:ascii="宋体" w:hAnsi="宋体" w:eastAsia="宋体" w:cs="宋体"/>
                <w:color w:val="auto"/>
                <w:kern w:val="2"/>
                <w:sz w:val="24"/>
                <w:szCs w:val="24"/>
                <w:highlight w:val="none"/>
                <w:lang w:val="en-US" w:eastAsia="zh-CN" w:bidi="ar-SA"/>
              </w:rPr>
            </w:pPr>
            <w:r>
              <w:rPr>
                <w:rFonts w:hint="eastAsia" w:ascii="宋体" w:hAnsi="宋体" w:cs="宋体"/>
                <w:color w:val="auto"/>
                <w:kern w:val="2"/>
                <w:sz w:val="24"/>
                <w:szCs w:val="24"/>
                <w:highlight w:val="none"/>
                <w:lang w:val="en-US" w:eastAsia="zh-CN" w:bidi="ar-SA"/>
              </w:rPr>
              <w:t>（3）</w:t>
            </w:r>
            <w:r>
              <w:rPr>
                <w:rFonts w:hint="eastAsia" w:ascii="宋体" w:hAnsi="宋体" w:eastAsia="宋体" w:cs="宋体"/>
                <w:color w:val="auto"/>
                <w:kern w:val="2"/>
                <w:sz w:val="24"/>
                <w:szCs w:val="24"/>
                <w:highlight w:val="none"/>
                <w:lang w:val="en-US" w:eastAsia="zh-CN" w:bidi="ar-SA"/>
              </w:rPr>
              <w:t>针对性：符合本项目实际情况，可操作性强，有实用性、有针对性；</w:t>
            </w:r>
          </w:p>
          <w:p w14:paraId="09629786">
            <w:pPr>
              <w:tabs>
                <w:tab w:val="left" w:pos="420"/>
                <w:tab w:val="left" w:pos="525"/>
                <w:tab w:val="left" w:pos="630"/>
                <w:tab w:val="left" w:pos="735"/>
              </w:tabs>
              <w:spacing w:line="410" w:lineRule="exact"/>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对上述</w:t>
            </w:r>
            <w:r>
              <w:rPr>
                <w:rFonts w:hint="eastAsia" w:ascii="宋体" w:hAnsi="宋体" w:cs="宋体"/>
                <w:color w:val="auto"/>
                <w:kern w:val="2"/>
                <w:sz w:val="24"/>
                <w:szCs w:val="24"/>
                <w:highlight w:val="none"/>
                <w:lang w:val="en-US" w:eastAsia="zh-CN" w:bidi="ar-SA"/>
              </w:rPr>
              <w:t>3</w:t>
            </w:r>
            <w:r>
              <w:rPr>
                <w:rFonts w:hint="eastAsia" w:ascii="宋体" w:hAnsi="宋体" w:eastAsia="宋体" w:cs="宋体"/>
                <w:color w:val="auto"/>
                <w:kern w:val="2"/>
                <w:sz w:val="24"/>
                <w:szCs w:val="24"/>
                <w:highlight w:val="none"/>
                <w:lang w:val="en-US" w:eastAsia="zh-CN" w:bidi="ar-SA"/>
              </w:rPr>
              <w:t>项评审内容进行打分，每项评审内容完全满足3项评审标准的得</w:t>
            </w:r>
            <w:r>
              <w:rPr>
                <w:rFonts w:hint="eastAsia" w:ascii="宋体" w:hAnsi="宋体" w:cs="宋体"/>
                <w:color w:val="auto"/>
                <w:kern w:val="2"/>
                <w:sz w:val="24"/>
                <w:szCs w:val="24"/>
                <w:highlight w:val="none"/>
                <w:lang w:val="en-US" w:eastAsia="zh-CN" w:bidi="ar-SA"/>
              </w:rPr>
              <w:t>3</w:t>
            </w:r>
            <w:r>
              <w:rPr>
                <w:rFonts w:hint="eastAsia" w:ascii="宋体" w:hAnsi="宋体" w:eastAsia="宋体" w:cs="宋体"/>
                <w:color w:val="auto"/>
                <w:kern w:val="2"/>
                <w:sz w:val="24"/>
                <w:szCs w:val="24"/>
                <w:highlight w:val="none"/>
                <w:lang w:val="en-US" w:eastAsia="zh-CN" w:bidi="ar-SA"/>
              </w:rPr>
              <w:t>分，满足2项的得</w:t>
            </w:r>
            <w:r>
              <w:rPr>
                <w:rFonts w:hint="eastAsia" w:ascii="宋体" w:hAnsi="宋体" w:cs="宋体"/>
                <w:color w:val="auto"/>
                <w:kern w:val="2"/>
                <w:sz w:val="24"/>
                <w:szCs w:val="24"/>
                <w:highlight w:val="none"/>
                <w:lang w:val="en-US" w:eastAsia="zh-CN" w:bidi="ar-SA"/>
              </w:rPr>
              <w:t>2</w:t>
            </w:r>
            <w:r>
              <w:rPr>
                <w:rFonts w:hint="eastAsia" w:ascii="宋体" w:hAnsi="宋体" w:eastAsia="宋体" w:cs="宋体"/>
                <w:color w:val="auto"/>
                <w:kern w:val="2"/>
                <w:sz w:val="24"/>
                <w:szCs w:val="24"/>
                <w:highlight w:val="none"/>
                <w:lang w:val="en-US" w:eastAsia="zh-CN" w:bidi="ar-SA"/>
              </w:rPr>
              <w:t>分，满足1项的得</w:t>
            </w:r>
            <w:r>
              <w:rPr>
                <w:rFonts w:hint="eastAsia" w:ascii="宋体" w:hAnsi="宋体" w:cs="宋体"/>
                <w:color w:val="auto"/>
                <w:kern w:val="2"/>
                <w:sz w:val="24"/>
                <w:szCs w:val="24"/>
                <w:highlight w:val="none"/>
                <w:lang w:val="en-US" w:eastAsia="zh-CN" w:bidi="ar-SA"/>
              </w:rPr>
              <w:t>1</w:t>
            </w:r>
            <w:r>
              <w:rPr>
                <w:rFonts w:hint="eastAsia" w:ascii="宋体" w:hAnsi="宋体" w:eastAsia="宋体" w:cs="宋体"/>
                <w:color w:val="auto"/>
                <w:kern w:val="2"/>
                <w:sz w:val="24"/>
                <w:szCs w:val="24"/>
                <w:highlight w:val="none"/>
                <w:lang w:val="en-US" w:eastAsia="zh-CN" w:bidi="ar-SA"/>
              </w:rPr>
              <w:t>分，其他情况不得分。</w:t>
            </w:r>
          </w:p>
        </w:tc>
      </w:tr>
      <w:tr w14:paraId="3162EE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jc w:val="center"/>
        </w:trPr>
        <w:tc>
          <w:tcPr>
            <w:tcW w:w="472" w:type="dxa"/>
            <w:noWrap w:val="0"/>
            <w:vAlign w:val="center"/>
          </w:tcPr>
          <w:p w14:paraId="685DC655">
            <w:pPr>
              <w:tabs>
                <w:tab w:val="left" w:pos="420"/>
                <w:tab w:val="left" w:pos="525"/>
                <w:tab w:val="left" w:pos="630"/>
                <w:tab w:val="left" w:pos="735"/>
              </w:tabs>
              <w:spacing w:line="410" w:lineRule="exact"/>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价</w:t>
            </w:r>
          </w:p>
          <w:p w14:paraId="11FE3DB4">
            <w:pPr>
              <w:tabs>
                <w:tab w:val="left" w:pos="420"/>
                <w:tab w:val="left" w:pos="525"/>
                <w:tab w:val="left" w:pos="630"/>
                <w:tab w:val="left" w:pos="735"/>
              </w:tabs>
              <w:spacing w:line="410" w:lineRule="exact"/>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格评审30分</w:t>
            </w:r>
          </w:p>
        </w:tc>
        <w:tc>
          <w:tcPr>
            <w:tcW w:w="729" w:type="dxa"/>
            <w:noWrap w:val="0"/>
            <w:vAlign w:val="center"/>
          </w:tcPr>
          <w:p w14:paraId="766039B1">
            <w:pPr>
              <w:tabs>
                <w:tab w:val="left" w:pos="420"/>
                <w:tab w:val="left" w:pos="525"/>
                <w:tab w:val="left" w:pos="630"/>
                <w:tab w:val="left" w:pos="735"/>
              </w:tabs>
              <w:spacing w:line="410" w:lineRule="exact"/>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价格评分</w:t>
            </w:r>
          </w:p>
        </w:tc>
        <w:tc>
          <w:tcPr>
            <w:tcW w:w="559" w:type="dxa"/>
            <w:noWrap w:val="0"/>
            <w:vAlign w:val="center"/>
          </w:tcPr>
          <w:p w14:paraId="1D0DDA71">
            <w:pPr>
              <w:tabs>
                <w:tab w:val="left" w:pos="420"/>
                <w:tab w:val="left" w:pos="525"/>
                <w:tab w:val="left" w:pos="630"/>
                <w:tab w:val="left" w:pos="735"/>
              </w:tabs>
              <w:spacing w:line="410" w:lineRule="exact"/>
              <w:rPr>
                <w:rFonts w:hint="eastAsia" w:ascii="宋体" w:hAnsi="宋体" w:eastAsia="宋体" w:cs="宋体"/>
                <w:color w:val="auto"/>
                <w:kern w:val="2"/>
                <w:sz w:val="24"/>
                <w:szCs w:val="24"/>
                <w:highlight w:val="none"/>
                <w:lang w:val="en-US" w:eastAsia="zh-CN" w:bidi="ar-SA"/>
              </w:rPr>
            </w:pPr>
            <w:r>
              <w:rPr>
                <w:rFonts w:hint="eastAsia" w:ascii="宋体" w:hAnsi="宋体" w:cs="宋体"/>
                <w:color w:val="auto"/>
                <w:kern w:val="2"/>
                <w:sz w:val="24"/>
                <w:szCs w:val="24"/>
                <w:highlight w:val="none"/>
                <w:lang w:val="en-US" w:eastAsia="zh-CN" w:bidi="ar-SA"/>
              </w:rPr>
              <w:t>3</w:t>
            </w:r>
            <w:r>
              <w:rPr>
                <w:rFonts w:hint="eastAsia" w:ascii="宋体" w:hAnsi="宋体" w:eastAsia="宋体" w:cs="宋体"/>
                <w:color w:val="auto"/>
                <w:kern w:val="2"/>
                <w:sz w:val="24"/>
                <w:szCs w:val="24"/>
                <w:highlight w:val="none"/>
                <w:lang w:val="en-US" w:eastAsia="zh-CN" w:bidi="ar-SA"/>
              </w:rPr>
              <w:t>0分</w:t>
            </w:r>
          </w:p>
        </w:tc>
        <w:tc>
          <w:tcPr>
            <w:tcW w:w="7991" w:type="dxa"/>
            <w:noWrap w:val="0"/>
            <w:vAlign w:val="center"/>
          </w:tcPr>
          <w:p w14:paraId="259A44E8">
            <w:pPr>
              <w:tabs>
                <w:tab w:val="left" w:pos="420"/>
                <w:tab w:val="left" w:pos="525"/>
                <w:tab w:val="left" w:pos="630"/>
                <w:tab w:val="left" w:pos="735"/>
              </w:tabs>
              <w:spacing w:line="410" w:lineRule="exact"/>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以满足竞争性磋商要求且投标价格最低的报价为评标基准价，其投标报价得分为</w:t>
            </w:r>
            <w:r>
              <w:rPr>
                <w:rFonts w:hint="eastAsia" w:ascii="宋体" w:hAnsi="宋体" w:cs="宋体"/>
                <w:color w:val="auto"/>
                <w:kern w:val="2"/>
                <w:sz w:val="24"/>
                <w:szCs w:val="24"/>
                <w:highlight w:val="none"/>
                <w:lang w:val="en-US" w:eastAsia="zh-CN" w:bidi="ar-SA"/>
              </w:rPr>
              <w:t>3</w:t>
            </w:r>
            <w:r>
              <w:rPr>
                <w:rFonts w:hint="eastAsia" w:ascii="宋体" w:hAnsi="宋体" w:eastAsia="宋体" w:cs="宋体"/>
                <w:color w:val="auto"/>
                <w:kern w:val="2"/>
                <w:sz w:val="24"/>
                <w:szCs w:val="24"/>
                <w:highlight w:val="none"/>
                <w:lang w:val="en-US" w:eastAsia="zh-CN" w:bidi="ar-SA"/>
              </w:rPr>
              <w:t>0分；其他合格供应商的投标报价得分按照下列公式计算：投标报价得分＝（评标基准价／投标报价）×价格分。（备注：投标报价超过最高磋商限价的作无效报价处理，取消投标资格；评标小组一致认定投标报价为非合理低价的作无效报价处理，取消投标资格）</w:t>
            </w:r>
          </w:p>
        </w:tc>
      </w:tr>
    </w:tbl>
    <w:p w14:paraId="226BA6B4">
      <w:pPr>
        <w:keepNext w:val="0"/>
        <w:keepLines w:val="0"/>
        <w:pageBreakBefore w:val="0"/>
        <w:widowControl w:val="0"/>
        <w:kinsoku/>
        <w:wordWrap/>
        <w:overflowPunct/>
        <w:topLinePunct w:val="0"/>
        <w:autoSpaceDE/>
        <w:autoSpaceDN/>
        <w:bidi w:val="0"/>
        <w:adjustRightInd/>
        <w:snapToGrid/>
        <w:spacing w:line="400" w:lineRule="exact"/>
        <w:ind w:firstLine="486" w:firstLineChars="200"/>
        <w:textAlignment w:val="auto"/>
        <w:rPr>
          <w:rFonts w:hint="eastAsia" w:ascii="宋体" w:hAnsi="宋体" w:eastAsia="宋体" w:cs="宋体"/>
          <w:b/>
          <w:bCs w:val="0"/>
          <w:color w:val="auto"/>
          <w:sz w:val="24"/>
          <w:szCs w:val="24"/>
          <w:highlight w:val="none"/>
        </w:rPr>
      </w:pPr>
      <w:r>
        <w:rPr>
          <w:rFonts w:hint="eastAsia" w:ascii="宋体" w:hAnsi="宋体" w:eastAsia="宋体" w:cs="宋体"/>
          <w:b/>
          <w:bCs w:val="0"/>
          <w:color w:val="auto"/>
          <w:sz w:val="24"/>
          <w:szCs w:val="24"/>
          <w:highlight w:val="none"/>
        </w:rPr>
        <w:t>注：1、磋商小组按照磋商文件和本办法上述有关规定，对供应商进行评比打分。供应商的最终得分为磋商小组成员所评定分数的算术平均值。</w:t>
      </w:r>
    </w:p>
    <w:p w14:paraId="2072B1C9">
      <w:pPr>
        <w:keepNext w:val="0"/>
        <w:keepLines w:val="0"/>
        <w:pageBreakBefore w:val="0"/>
        <w:widowControl w:val="0"/>
        <w:kinsoku/>
        <w:wordWrap/>
        <w:overflowPunct/>
        <w:topLinePunct w:val="0"/>
        <w:autoSpaceDE/>
        <w:autoSpaceDN/>
        <w:bidi w:val="0"/>
        <w:adjustRightInd/>
        <w:snapToGrid/>
        <w:spacing w:line="400" w:lineRule="exact"/>
        <w:ind w:firstLine="490" w:firstLineChars="202"/>
        <w:textAlignment w:val="auto"/>
        <w:rPr>
          <w:rFonts w:hint="eastAsia" w:ascii="宋体" w:hAnsi="宋体" w:eastAsia="宋体" w:cs="宋体"/>
          <w:b/>
          <w:bCs w:val="0"/>
          <w:color w:val="auto"/>
          <w:sz w:val="24"/>
          <w:szCs w:val="24"/>
          <w:highlight w:val="none"/>
        </w:rPr>
      </w:pPr>
      <w:r>
        <w:rPr>
          <w:rFonts w:hint="eastAsia" w:ascii="宋体" w:hAnsi="宋体" w:eastAsia="宋体" w:cs="宋体"/>
          <w:b/>
          <w:bCs w:val="0"/>
          <w:color w:val="auto"/>
          <w:sz w:val="24"/>
          <w:szCs w:val="24"/>
          <w:highlight w:val="none"/>
        </w:rPr>
        <w:t>2、各项统计、评分结果均按四舍五入方法精确到小数点后两位。</w:t>
      </w:r>
    </w:p>
    <w:p w14:paraId="17688611">
      <w:pPr>
        <w:keepNext w:val="0"/>
        <w:keepLines w:val="0"/>
        <w:pageBreakBefore w:val="0"/>
        <w:widowControl w:val="0"/>
        <w:kinsoku/>
        <w:wordWrap/>
        <w:overflowPunct/>
        <w:topLinePunct w:val="0"/>
        <w:autoSpaceDE/>
        <w:autoSpaceDN/>
        <w:bidi w:val="0"/>
        <w:adjustRightInd/>
        <w:snapToGrid/>
        <w:spacing w:line="400" w:lineRule="exact"/>
        <w:ind w:firstLine="490" w:firstLineChars="202"/>
        <w:textAlignment w:val="auto"/>
        <w:rPr>
          <w:rFonts w:hint="eastAsia" w:ascii="宋体" w:hAnsi="宋体" w:eastAsia="宋体" w:cs="宋体"/>
          <w:color w:val="auto"/>
          <w:sz w:val="24"/>
          <w:szCs w:val="24"/>
          <w:highlight w:val="none"/>
        </w:rPr>
      </w:pPr>
      <w:r>
        <w:rPr>
          <w:rFonts w:hint="eastAsia" w:ascii="宋体" w:hAnsi="宋体" w:eastAsia="宋体" w:cs="宋体"/>
          <w:b/>
          <w:bCs w:val="0"/>
          <w:color w:val="auto"/>
          <w:sz w:val="24"/>
          <w:szCs w:val="24"/>
          <w:highlight w:val="none"/>
        </w:rPr>
        <w:t>3、评标办法前附表中注明提交有关证明核验的，供应商应当提交有关证明供评标委员会核验。如因遗失、年检等特殊情况不能提供的，应当在磋商文件中作出说明，并附相关行政监督部门出具的且能反映评审条款内容的有效证明材料，供评标委员会审核认定。</w:t>
      </w:r>
    </w:p>
    <w:p w14:paraId="744AFFA3">
      <w:pPr>
        <w:keepNext w:val="0"/>
        <w:keepLines w:val="0"/>
        <w:pageBreakBefore w:val="0"/>
        <w:widowControl w:val="0"/>
        <w:kinsoku/>
        <w:wordWrap/>
        <w:overflowPunct/>
        <w:topLinePunct w:val="0"/>
        <w:autoSpaceDE/>
        <w:autoSpaceDN/>
        <w:bidi w:val="0"/>
        <w:adjustRightInd/>
        <w:snapToGrid/>
        <w:spacing w:line="400" w:lineRule="exact"/>
        <w:ind w:firstLine="465" w:firstLineChars="192"/>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20.成交候选供应商及成交供应商的确定</w:t>
      </w:r>
    </w:p>
    <w:p w14:paraId="16C79D09">
      <w:pPr>
        <w:keepNext w:val="0"/>
        <w:keepLines w:val="0"/>
        <w:pageBreakBefore w:val="0"/>
        <w:widowControl w:val="0"/>
        <w:kinsoku/>
        <w:wordWrap/>
        <w:overflowPunct/>
        <w:topLinePunct w:val="0"/>
        <w:autoSpaceDE/>
        <w:autoSpaceDN/>
        <w:bidi w:val="0"/>
        <w:adjustRightInd/>
        <w:snapToGrid/>
        <w:spacing w:line="400" w:lineRule="exact"/>
        <w:ind w:firstLine="465" w:firstLineChars="192"/>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20.1确定成交供应商的原则、标准及方法。</w:t>
      </w:r>
    </w:p>
    <w:p w14:paraId="2F281015">
      <w:pPr>
        <w:keepNext w:val="0"/>
        <w:keepLines w:val="0"/>
        <w:pageBreakBefore w:val="0"/>
        <w:widowControl w:val="0"/>
        <w:tabs>
          <w:tab w:val="left" w:pos="420"/>
          <w:tab w:val="left" w:pos="525"/>
          <w:tab w:val="left" w:pos="630"/>
          <w:tab w:val="left" w:pos="735"/>
        </w:tabs>
        <w:kinsoku/>
        <w:wordWrap/>
        <w:overflowPunct/>
        <w:topLinePunct w:val="0"/>
        <w:autoSpaceDE/>
        <w:autoSpaceDN/>
        <w:bidi w:val="0"/>
        <w:adjustRightInd/>
        <w:snapToGrid/>
        <w:spacing w:line="400" w:lineRule="exact"/>
        <w:ind w:firstLine="486"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20.1.1磋商小组应当从质量和服务均能满足磋商文件实质性响应要求的供应商中，根据综合评分情况，按照评审得分由高至低顺序推荐3名成交候选供应商，评审得分相同的按照最后有效报价得分由高到低的顺序推荐，评审得分且最后报价得分相同的，按照技术指标优劣顺序推荐，并按照《政府采购竞争性磋商采购方式管理暂行办法》要求推荐成交候选供应商，并编写评审报告。</w:t>
      </w:r>
    </w:p>
    <w:p w14:paraId="7DF3FC8C">
      <w:pPr>
        <w:keepNext w:val="0"/>
        <w:keepLines w:val="0"/>
        <w:pageBreakBefore w:val="0"/>
        <w:widowControl w:val="0"/>
        <w:kinsoku/>
        <w:wordWrap/>
        <w:overflowPunct/>
        <w:topLinePunct w:val="0"/>
        <w:autoSpaceDE/>
        <w:autoSpaceDN/>
        <w:bidi w:val="0"/>
        <w:adjustRightInd/>
        <w:snapToGrid/>
        <w:spacing w:line="400" w:lineRule="exact"/>
        <w:ind w:firstLine="465" w:firstLineChars="192"/>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20.1.2采购人应当在收到评审报告后5个工作日内，从评审报告提出的成交候选供应商中，按照排序由高到低的原则确定成交供应商。采购人逾期未确定成交供应商且不提出异议的，视为确定评审报告提出的排序第一的供应商为成交供应商。评审得分且最后报价相同的，按照技术指标优劣顺序推荐。</w:t>
      </w:r>
    </w:p>
    <w:p w14:paraId="60558D4F">
      <w:pPr>
        <w:keepNext w:val="0"/>
        <w:keepLines w:val="0"/>
        <w:pageBreakBefore w:val="0"/>
        <w:widowControl w:val="0"/>
        <w:kinsoku/>
        <w:wordWrap/>
        <w:overflowPunct/>
        <w:topLinePunct w:val="0"/>
        <w:autoSpaceDE/>
        <w:autoSpaceDN/>
        <w:bidi w:val="0"/>
        <w:adjustRightInd/>
        <w:snapToGrid/>
        <w:spacing w:line="400" w:lineRule="exact"/>
        <w:ind w:firstLine="465" w:firstLineChars="192"/>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20.2 成交结果通知书:</w:t>
      </w:r>
    </w:p>
    <w:p w14:paraId="41F4735C">
      <w:pPr>
        <w:keepNext w:val="0"/>
        <w:keepLines w:val="0"/>
        <w:pageBreakBefore w:val="0"/>
        <w:widowControl w:val="0"/>
        <w:kinsoku/>
        <w:wordWrap/>
        <w:overflowPunct/>
        <w:topLinePunct w:val="0"/>
        <w:autoSpaceDE/>
        <w:autoSpaceDN/>
        <w:bidi w:val="0"/>
        <w:adjustRightInd/>
        <w:snapToGrid/>
        <w:spacing w:line="400" w:lineRule="exact"/>
        <w:ind w:firstLine="463" w:firstLineChars="191"/>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20.2.1成交结果公告期结束后，采购人将向成交供应商发出《成交结果通知书》。</w:t>
      </w:r>
    </w:p>
    <w:p w14:paraId="122C2AA9">
      <w:pPr>
        <w:keepNext w:val="0"/>
        <w:keepLines w:val="0"/>
        <w:pageBreakBefore w:val="0"/>
        <w:widowControl w:val="0"/>
        <w:kinsoku/>
        <w:wordWrap/>
        <w:overflowPunct/>
        <w:topLinePunct w:val="0"/>
        <w:autoSpaceDE/>
        <w:autoSpaceDN/>
        <w:bidi w:val="0"/>
        <w:adjustRightInd/>
        <w:snapToGrid/>
        <w:spacing w:line="400" w:lineRule="exact"/>
        <w:ind w:firstLine="463" w:firstLineChars="191"/>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20.2.2 成交结果通知书是合同的组成部分。</w:t>
      </w:r>
    </w:p>
    <w:p w14:paraId="45E35003">
      <w:pPr>
        <w:keepNext w:val="0"/>
        <w:keepLines w:val="0"/>
        <w:pageBreakBefore w:val="0"/>
        <w:widowControl w:val="0"/>
        <w:kinsoku/>
        <w:wordWrap/>
        <w:overflowPunct/>
        <w:topLinePunct w:val="0"/>
        <w:autoSpaceDE/>
        <w:autoSpaceDN/>
        <w:bidi w:val="0"/>
        <w:adjustRightInd/>
        <w:snapToGrid/>
        <w:spacing w:line="400" w:lineRule="exact"/>
        <w:ind w:firstLine="463" w:firstLineChars="191"/>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20.2.3成交结果将在枝江市安福寺镇政务公开网“</w:t>
      </w:r>
      <w:r>
        <w:rPr>
          <w:rFonts w:hint="eastAsia" w:ascii="宋体" w:hAnsi="宋体" w:eastAsia="宋体" w:cs="宋体"/>
          <w:color w:val="auto"/>
          <w:sz w:val="24"/>
          <w:szCs w:val="24"/>
          <w:highlight w:val="none"/>
          <w:lang w:eastAsia="zh-CN"/>
        </w:rPr>
        <w:t>中标</w:t>
      </w:r>
      <w:r>
        <w:rPr>
          <w:rFonts w:hint="eastAsia" w:ascii="宋体" w:hAnsi="宋体" w:eastAsia="宋体" w:cs="宋体"/>
          <w:color w:val="auto"/>
          <w:sz w:val="24"/>
          <w:szCs w:val="24"/>
          <w:highlight w:val="none"/>
          <w:lang w:val="en-US" w:eastAsia="zh-CN"/>
        </w:rPr>
        <w:t>/成交公告</w:t>
      </w:r>
      <w:r>
        <w:rPr>
          <w:rFonts w:hint="eastAsia" w:ascii="宋体" w:hAnsi="宋体" w:eastAsia="宋体" w:cs="宋体"/>
          <w:color w:val="auto"/>
          <w:sz w:val="24"/>
          <w:szCs w:val="24"/>
          <w:highlight w:val="none"/>
        </w:rPr>
        <w:t>”栏进行发布。</w:t>
      </w:r>
    </w:p>
    <w:p w14:paraId="27591F62">
      <w:pPr>
        <w:keepNext w:val="0"/>
        <w:keepLines w:val="0"/>
        <w:pageBreakBefore w:val="0"/>
        <w:widowControl w:val="0"/>
        <w:kinsoku/>
        <w:wordWrap/>
        <w:overflowPunct/>
        <w:topLinePunct w:val="0"/>
        <w:autoSpaceDE/>
        <w:autoSpaceDN/>
        <w:bidi w:val="0"/>
        <w:adjustRightInd/>
        <w:snapToGrid/>
        <w:spacing w:line="400" w:lineRule="exact"/>
        <w:ind w:firstLine="486"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20.2.4供应商提供虚假资料骗取成交资格的，一经发现，取消本次成交资格、列入不良行为记录；不履行合同和服务承诺的，将给予禁止进入本区域公共资源交易市场的处罚，并将处理结果在枝江市公共资源交易网进行公告。</w:t>
      </w:r>
    </w:p>
    <w:p w14:paraId="2CECA397">
      <w:pPr>
        <w:keepNext w:val="0"/>
        <w:keepLines w:val="0"/>
        <w:pageBreakBefore w:val="0"/>
        <w:widowControl w:val="0"/>
        <w:kinsoku/>
        <w:wordWrap/>
        <w:overflowPunct/>
        <w:topLinePunct w:val="0"/>
        <w:autoSpaceDE/>
        <w:autoSpaceDN/>
        <w:bidi w:val="0"/>
        <w:adjustRightInd/>
        <w:snapToGrid/>
        <w:spacing w:line="400" w:lineRule="exact"/>
        <w:ind w:firstLine="463" w:firstLineChars="191"/>
        <w:textAlignment w:val="auto"/>
        <w:outlineLvl w:val="1"/>
        <w:rPr>
          <w:rFonts w:hint="eastAsia" w:ascii="宋体" w:hAnsi="宋体" w:eastAsia="宋体" w:cs="宋体"/>
          <w:b/>
          <w:color w:val="auto"/>
          <w:sz w:val="24"/>
          <w:szCs w:val="24"/>
          <w:highlight w:val="none"/>
        </w:rPr>
      </w:pPr>
      <w:bookmarkStart w:id="77" w:name="_Toc18859"/>
      <w:bookmarkStart w:id="78" w:name="_Toc9910"/>
      <w:r>
        <w:rPr>
          <w:rFonts w:hint="eastAsia" w:ascii="宋体" w:hAnsi="宋体" w:eastAsia="宋体" w:cs="宋体"/>
          <w:b/>
          <w:color w:val="auto"/>
          <w:sz w:val="24"/>
          <w:szCs w:val="24"/>
          <w:highlight w:val="none"/>
        </w:rPr>
        <w:t>五、合同的签订</w:t>
      </w:r>
      <w:bookmarkEnd w:id="77"/>
      <w:bookmarkEnd w:id="78"/>
    </w:p>
    <w:p w14:paraId="42CE013B">
      <w:pPr>
        <w:keepNext w:val="0"/>
        <w:keepLines w:val="0"/>
        <w:pageBreakBefore w:val="0"/>
        <w:widowControl w:val="0"/>
        <w:kinsoku/>
        <w:wordWrap/>
        <w:overflowPunct/>
        <w:topLinePunct w:val="0"/>
        <w:autoSpaceDE/>
        <w:autoSpaceDN/>
        <w:bidi w:val="0"/>
        <w:adjustRightInd/>
        <w:snapToGrid/>
        <w:spacing w:line="400" w:lineRule="exact"/>
        <w:ind w:firstLine="463" w:firstLineChars="191"/>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21、合同的签订及备案</w:t>
      </w:r>
    </w:p>
    <w:p w14:paraId="577C92C7">
      <w:pPr>
        <w:keepNext w:val="0"/>
        <w:keepLines w:val="0"/>
        <w:pageBreakBefore w:val="0"/>
        <w:widowControl w:val="0"/>
        <w:kinsoku/>
        <w:wordWrap/>
        <w:overflowPunct/>
        <w:topLinePunct w:val="0"/>
        <w:autoSpaceDE/>
        <w:autoSpaceDN/>
        <w:bidi w:val="0"/>
        <w:adjustRightInd/>
        <w:snapToGrid/>
        <w:spacing w:line="400" w:lineRule="exact"/>
        <w:ind w:firstLine="463" w:firstLineChars="191"/>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21.1成交供应商收到成交结果通知书后，应及时与采购人签订政府采购合同。</w:t>
      </w:r>
    </w:p>
    <w:p w14:paraId="4899A52C">
      <w:pPr>
        <w:keepNext w:val="0"/>
        <w:keepLines w:val="0"/>
        <w:pageBreakBefore w:val="0"/>
        <w:widowControl w:val="0"/>
        <w:kinsoku/>
        <w:wordWrap/>
        <w:overflowPunct/>
        <w:topLinePunct w:val="0"/>
        <w:autoSpaceDE/>
        <w:autoSpaceDN/>
        <w:bidi w:val="0"/>
        <w:adjustRightInd/>
        <w:snapToGrid/>
        <w:spacing w:line="400" w:lineRule="exact"/>
        <w:ind w:firstLine="463" w:firstLineChars="191"/>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21.2 采购人与成交供应商必须按照磋商文件、磋商响应文件的内容和成交供应商的最终报价及最终书面承诺，签订政府采购合同。不得违背上述原则签订合同，也不得另签背离合同实质性内容的其他协议。</w:t>
      </w:r>
    </w:p>
    <w:p w14:paraId="5DFA2E46">
      <w:pPr>
        <w:keepNext w:val="0"/>
        <w:keepLines w:val="0"/>
        <w:pageBreakBefore w:val="0"/>
        <w:widowControl w:val="0"/>
        <w:kinsoku/>
        <w:wordWrap/>
        <w:overflowPunct/>
        <w:topLinePunct w:val="0"/>
        <w:autoSpaceDE/>
        <w:autoSpaceDN/>
        <w:bidi w:val="0"/>
        <w:adjustRightInd/>
        <w:snapToGrid/>
        <w:spacing w:line="400" w:lineRule="exact"/>
        <w:ind w:firstLine="463" w:firstLineChars="191"/>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21.3如果供应商没有按照上述规定签订政府采购合同，采购人有权取消其所获得的成交资格。成交供应商因不可抗力或者自身原因提出不能履行政府采购合同的，采购人可以与排名第二的成交供应商签订政府采购合同，以此类推。</w:t>
      </w:r>
    </w:p>
    <w:p w14:paraId="08E90F1E">
      <w:pPr>
        <w:keepNext w:val="0"/>
        <w:keepLines w:val="0"/>
        <w:pageBreakBefore w:val="0"/>
        <w:widowControl w:val="0"/>
        <w:kinsoku/>
        <w:wordWrap/>
        <w:overflowPunct/>
        <w:topLinePunct w:val="0"/>
        <w:autoSpaceDE/>
        <w:autoSpaceDN/>
        <w:bidi w:val="0"/>
        <w:adjustRightInd/>
        <w:snapToGrid/>
        <w:spacing w:line="400" w:lineRule="exact"/>
        <w:ind w:firstLine="463" w:firstLineChars="191"/>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21.4成交供应商不得向他人转让成交项目，如果成交供应商在履行合同时发生违约行为，采购人有权终止合同。</w:t>
      </w:r>
    </w:p>
    <w:p w14:paraId="4B5E7F71">
      <w:pPr>
        <w:keepNext w:val="0"/>
        <w:keepLines w:val="0"/>
        <w:pageBreakBefore w:val="0"/>
        <w:widowControl w:val="0"/>
        <w:kinsoku/>
        <w:wordWrap/>
        <w:overflowPunct/>
        <w:topLinePunct w:val="0"/>
        <w:autoSpaceDE/>
        <w:autoSpaceDN/>
        <w:bidi w:val="0"/>
        <w:adjustRightInd/>
        <w:snapToGrid/>
        <w:spacing w:line="400" w:lineRule="exact"/>
        <w:ind w:firstLine="475" w:firstLineChars="196"/>
        <w:textAlignment w:val="auto"/>
        <w:outlineLvl w:val="1"/>
        <w:rPr>
          <w:rFonts w:hint="eastAsia" w:ascii="宋体" w:hAnsi="宋体" w:eastAsia="宋体" w:cs="宋体"/>
          <w:b/>
          <w:color w:val="auto"/>
          <w:sz w:val="24"/>
          <w:szCs w:val="24"/>
          <w:highlight w:val="none"/>
        </w:rPr>
      </w:pPr>
      <w:bookmarkStart w:id="79" w:name="_Toc20795"/>
      <w:bookmarkStart w:id="80" w:name="_Toc3713"/>
      <w:r>
        <w:rPr>
          <w:rFonts w:hint="eastAsia" w:ascii="宋体" w:hAnsi="宋体" w:eastAsia="宋体" w:cs="宋体"/>
          <w:b/>
          <w:color w:val="auto"/>
          <w:sz w:val="24"/>
          <w:szCs w:val="24"/>
          <w:highlight w:val="none"/>
        </w:rPr>
        <w:t>六、其他说明</w:t>
      </w:r>
      <w:bookmarkEnd w:id="79"/>
      <w:bookmarkEnd w:id="80"/>
    </w:p>
    <w:p w14:paraId="6636F3C7">
      <w:pPr>
        <w:keepNext w:val="0"/>
        <w:keepLines w:val="0"/>
        <w:pageBreakBefore w:val="0"/>
        <w:widowControl w:val="0"/>
        <w:kinsoku/>
        <w:wordWrap/>
        <w:overflowPunct/>
        <w:topLinePunct w:val="0"/>
        <w:autoSpaceDE/>
        <w:autoSpaceDN/>
        <w:bidi w:val="0"/>
        <w:adjustRightInd/>
        <w:snapToGrid/>
        <w:spacing w:line="400" w:lineRule="exact"/>
        <w:ind w:firstLine="463" w:firstLineChars="191"/>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成交供应商拒绝签订政府采购合同的，采购人可以按照《政府采购竞争性磋商采购方式管理暂行办法》第二十八条第二款规定的原则确定其他供应商作为成交供应商并签订政府采购合同，也可以重新开展采购活动。拒绝签订政府采购合同的成交供应商不得参加对该项目重新开展的采购活动。</w:t>
      </w:r>
    </w:p>
    <w:p w14:paraId="2CDE0830">
      <w:pPr>
        <w:keepNext w:val="0"/>
        <w:keepLines w:val="0"/>
        <w:pageBreakBefore w:val="0"/>
        <w:widowControl w:val="0"/>
        <w:kinsoku/>
        <w:wordWrap/>
        <w:overflowPunct/>
        <w:topLinePunct w:val="0"/>
        <w:autoSpaceDE/>
        <w:autoSpaceDN/>
        <w:bidi w:val="0"/>
        <w:adjustRightInd/>
        <w:snapToGrid/>
        <w:spacing w:line="400" w:lineRule="exact"/>
        <w:ind w:firstLine="463" w:firstLineChars="191"/>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22.争议的解决</w:t>
      </w:r>
    </w:p>
    <w:p w14:paraId="02F5F1CF">
      <w:pPr>
        <w:keepNext w:val="0"/>
        <w:keepLines w:val="0"/>
        <w:pageBreakBefore w:val="0"/>
        <w:widowControl w:val="0"/>
        <w:kinsoku/>
        <w:wordWrap/>
        <w:overflowPunct/>
        <w:topLinePunct w:val="0"/>
        <w:autoSpaceDE/>
        <w:autoSpaceDN/>
        <w:bidi w:val="0"/>
        <w:adjustRightInd/>
        <w:snapToGrid/>
        <w:spacing w:line="400" w:lineRule="exact"/>
        <w:ind w:firstLine="486"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22.1 成交供应商和采购人在执行合同期间发生纠纷，应按以下方式解决：</w:t>
      </w:r>
    </w:p>
    <w:p w14:paraId="2D3FCC0D">
      <w:pPr>
        <w:keepNext w:val="0"/>
        <w:keepLines w:val="0"/>
        <w:pageBreakBefore w:val="0"/>
        <w:widowControl w:val="0"/>
        <w:kinsoku/>
        <w:wordWrap/>
        <w:overflowPunct/>
        <w:topLinePunct w:val="0"/>
        <w:autoSpaceDE/>
        <w:autoSpaceDN/>
        <w:bidi w:val="0"/>
        <w:adjustRightInd/>
        <w:snapToGrid/>
        <w:spacing w:line="400" w:lineRule="exact"/>
        <w:ind w:firstLine="486"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22.1.1双方应友好协商，解决争议；</w:t>
      </w:r>
    </w:p>
    <w:p w14:paraId="48774591">
      <w:pPr>
        <w:keepNext w:val="0"/>
        <w:keepLines w:val="0"/>
        <w:pageBreakBefore w:val="0"/>
        <w:widowControl w:val="0"/>
        <w:kinsoku/>
        <w:wordWrap/>
        <w:overflowPunct/>
        <w:topLinePunct w:val="0"/>
        <w:autoSpaceDE/>
        <w:autoSpaceDN/>
        <w:bidi w:val="0"/>
        <w:adjustRightInd/>
        <w:snapToGrid/>
        <w:spacing w:line="400" w:lineRule="exact"/>
        <w:ind w:firstLine="486"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22.1.2向当地仲裁机构提出仲裁申请；</w:t>
      </w:r>
    </w:p>
    <w:p w14:paraId="0043BA41">
      <w:pPr>
        <w:keepNext w:val="0"/>
        <w:keepLines w:val="0"/>
        <w:pageBreakBefore w:val="0"/>
        <w:widowControl w:val="0"/>
        <w:kinsoku/>
        <w:wordWrap/>
        <w:overflowPunct/>
        <w:topLinePunct w:val="0"/>
        <w:autoSpaceDE/>
        <w:autoSpaceDN/>
        <w:bidi w:val="0"/>
        <w:adjustRightInd/>
        <w:snapToGrid/>
        <w:spacing w:line="400" w:lineRule="exact"/>
        <w:ind w:firstLine="486"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22.1.3向当地人民法院提起诉讼。</w:t>
      </w:r>
    </w:p>
    <w:p w14:paraId="4B4E0959">
      <w:pPr>
        <w:keepNext w:val="0"/>
        <w:keepLines w:val="0"/>
        <w:pageBreakBefore w:val="0"/>
        <w:widowControl w:val="0"/>
        <w:kinsoku/>
        <w:wordWrap/>
        <w:overflowPunct/>
        <w:topLinePunct w:val="0"/>
        <w:autoSpaceDE/>
        <w:autoSpaceDN/>
        <w:bidi w:val="0"/>
        <w:adjustRightInd/>
        <w:snapToGrid/>
        <w:spacing w:line="400" w:lineRule="exact"/>
        <w:ind w:firstLine="486" w:firstLineChars="200"/>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23. 保密及其他注意事项</w:t>
      </w:r>
    </w:p>
    <w:p w14:paraId="4D44147E">
      <w:pPr>
        <w:keepNext w:val="0"/>
        <w:keepLines w:val="0"/>
        <w:pageBreakBefore w:val="0"/>
        <w:widowControl w:val="0"/>
        <w:kinsoku/>
        <w:wordWrap/>
        <w:overflowPunct/>
        <w:topLinePunct w:val="0"/>
        <w:autoSpaceDE/>
        <w:autoSpaceDN/>
        <w:bidi w:val="0"/>
        <w:adjustRightInd/>
        <w:snapToGrid/>
        <w:spacing w:line="400" w:lineRule="exact"/>
        <w:ind w:firstLine="486"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23.1在开标、磋商、评审期间，供应商不得向磋商小组询问磋商情况，不得进行旨在影响磋商结果的活动。</w:t>
      </w:r>
    </w:p>
    <w:p w14:paraId="36F7BCE9">
      <w:pPr>
        <w:pStyle w:val="21"/>
        <w:keepNext w:val="0"/>
        <w:keepLines w:val="0"/>
        <w:pageBreakBefore w:val="0"/>
        <w:widowControl w:val="0"/>
        <w:kinsoku/>
        <w:wordWrap/>
        <w:overflowPunct/>
        <w:topLinePunct w:val="0"/>
        <w:autoSpaceDE/>
        <w:autoSpaceDN/>
        <w:bidi w:val="0"/>
        <w:adjustRightInd/>
        <w:snapToGrid/>
        <w:spacing w:line="400" w:lineRule="exact"/>
        <w:ind w:firstLine="486"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23.2为保证磋商的公正性，在磋商过程中，磋商小组不得与供应商私下交换意见。</w:t>
      </w:r>
    </w:p>
    <w:p w14:paraId="5056C0A3">
      <w:pPr>
        <w:keepNext w:val="0"/>
        <w:keepLines w:val="0"/>
        <w:pageBreakBefore w:val="0"/>
        <w:widowControl w:val="0"/>
        <w:kinsoku/>
        <w:wordWrap/>
        <w:overflowPunct/>
        <w:topLinePunct w:val="0"/>
        <w:autoSpaceDE/>
        <w:autoSpaceDN/>
        <w:bidi w:val="0"/>
        <w:adjustRightInd/>
        <w:snapToGrid/>
        <w:spacing w:line="400" w:lineRule="exact"/>
        <w:ind w:firstLine="486"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23.3本次磋商采购活动结束之后，采购人对参加磋商供应商提交的磋商文件及相关资料一律不予退还。</w:t>
      </w:r>
    </w:p>
    <w:p w14:paraId="4C289213">
      <w:pPr>
        <w:keepNext w:val="0"/>
        <w:keepLines w:val="0"/>
        <w:pageBreakBefore w:val="0"/>
        <w:widowControl w:val="0"/>
        <w:kinsoku/>
        <w:wordWrap/>
        <w:overflowPunct/>
        <w:topLinePunct w:val="0"/>
        <w:autoSpaceDE/>
        <w:autoSpaceDN/>
        <w:bidi w:val="0"/>
        <w:adjustRightInd/>
        <w:snapToGrid/>
        <w:spacing w:line="400" w:lineRule="exact"/>
        <w:ind w:firstLine="486"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23.4磋商小组的工作人员，不得将磋商的有关情况向他人透露。</w:t>
      </w:r>
    </w:p>
    <w:p w14:paraId="5777C07C">
      <w:pPr>
        <w:keepNext w:val="0"/>
        <w:keepLines w:val="0"/>
        <w:pageBreakBefore w:val="0"/>
        <w:widowControl w:val="0"/>
        <w:kinsoku/>
        <w:wordWrap/>
        <w:overflowPunct/>
        <w:topLinePunct w:val="0"/>
        <w:autoSpaceDE/>
        <w:autoSpaceDN/>
        <w:bidi w:val="0"/>
        <w:adjustRightInd/>
        <w:snapToGrid/>
        <w:spacing w:line="400" w:lineRule="exact"/>
        <w:ind w:firstLine="486" w:firstLineChars="200"/>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24. 询问与质疑</w:t>
      </w:r>
    </w:p>
    <w:p w14:paraId="75CCCCDB">
      <w:pPr>
        <w:keepNext w:val="0"/>
        <w:keepLines w:val="0"/>
        <w:pageBreakBefore w:val="0"/>
        <w:widowControl w:val="0"/>
        <w:kinsoku/>
        <w:wordWrap/>
        <w:overflowPunct/>
        <w:topLinePunct w:val="0"/>
        <w:autoSpaceDE/>
        <w:autoSpaceDN/>
        <w:bidi w:val="0"/>
        <w:adjustRightInd/>
        <w:snapToGrid/>
        <w:spacing w:line="400" w:lineRule="exact"/>
        <w:ind w:firstLine="486"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24.1如果供应商对采购结果有异议的，应当在采购结果公示期间以书面形式先向采购人或采购代理机构提出质疑。质疑文件须经磋商供应商法人代表签字并加盖单位行政公章。</w:t>
      </w:r>
    </w:p>
    <w:p w14:paraId="33CD7710">
      <w:pPr>
        <w:keepNext w:val="0"/>
        <w:keepLines w:val="0"/>
        <w:pageBreakBefore w:val="0"/>
        <w:widowControl w:val="0"/>
        <w:kinsoku/>
        <w:wordWrap/>
        <w:overflowPunct/>
        <w:topLinePunct w:val="0"/>
        <w:autoSpaceDE/>
        <w:autoSpaceDN/>
        <w:bidi w:val="0"/>
        <w:adjustRightInd/>
        <w:snapToGrid/>
        <w:spacing w:line="400" w:lineRule="exact"/>
        <w:ind w:firstLine="486"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24.2质疑供应商对采购人、采购代理机构的答复不满意或者采购人、采购代理机构未在规定的时间内作出答复的，可以在答复期满后十五个工作日内向枝江市公共资源交易监督管理部门投诉。</w:t>
      </w:r>
    </w:p>
    <w:p w14:paraId="2BD1A18B">
      <w:pPr>
        <w:keepNext w:val="0"/>
        <w:keepLines w:val="0"/>
        <w:pageBreakBefore w:val="0"/>
        <w:widowControl w:val="0"/>
        <w:kinsoku/>
        <w:wordWrap/>
        <w:overflowPunct/>
        <w:topLinePunct w:val="0"/>
        <w:autoSpaceDE/>
        <w:autoSpaceDN/>
        <w:bidi w:val="0"/>
        <w:adjustRightInd/>
        <w:snapToGrid/>
        <w:spacing w:line="400" w:lineRule="exact"/>
        <w:ind w:firstLine="486"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24.3投诉人投诉时，应当提交投诉书，投诉书包括下列主要内容：</w:t>
      </w:r>
    </w:p>
    <w:p w14:paraId="1590DC80">
      <w:pPr>
        <w:keepNext w:val="0"/>
        <w:keepLines w:val="0"/>
        <w:pageBreakBefore w:val="0"/>
        <w:widowControl w:val="0"/>
        <w:kinsoku/>
        <w:wordWrap/>
        <w:overflowPunct/>
        <w:topLinePunct w:val="0"/>
        <w:autoSpaceDE/>
        <w:autoSpaceDN/>
        <w:bidi w:val="0"/>
        <w:adjustRightInd/>
        <w:snapToGrid/>
        <w:spacing w:line="400" w:lineRule="exact"/>
        <w:ind w:firstLine="486"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24.3.1投诉人和被投诉人的名称、地址、电话；</w:t>
      </w:r>
    </w:p>
    <w:p w14:paraId="38381186">
      <w:pPr>
        <w:keepNext w:val="0"/>
        <w:keepLines w:val="0"/>
        <w:pageBreakBefore w:val="0"/>
        <w:widowControl w:val="0"/>
        <w:kinsoku/>
        <w:wordWrap/>
        <w:overflowPunct/>
        <w:topLinePunct w:val="0"/>
        <w:autoSpaceDE/>
        <w:autoSpaceDN/>
        <w:bidi w:val="0"/>
        <w:adjustRightInd/>
        <w:snapToGrid/>
        <w:spacing w:line="400" w:lineRule="exact"/>
        <w:ind w:firstLine="486"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24.3.2具体的投诉事项及事实依据；</w:t>
      </w:r>
    </w:p>
    <w:p w14:paraId="430B31A4">
      <w:pPr>
        <w:keepNext w:val="0"/>
        <w:keepLines w:val="0"/>
        <w:pageBreakBefore w:val="0"/>
        <w:widowControl w:val="0"/>
        <w:kinsoku/>
        <w:wordWrap/>
        <w:overflowPunct/>
        <w:topLinePunct w:val="0"/>
        <w:autoSpaceDE/>
        <w:autoSpaceDN/>
        <w:bidi w:val="0"/>
        <w:adjustRightInd/>
        <w:snapToGrid/>
        <w:spacing w:line="400" w:lineRule="exact"/>
        <w:ind w:firstLine="486"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24.3.3质疑内容和质疑答复情况及相关证明材料；</w:t>
      </w:r>
    </w:p>
    <w:p w14:paraId="6ADD96B4">
      <w:pPr>
        <w:keepNext w:val="0"/>
        <w:keepLines w:val="0"/>
        <w:pageBreakBefore w:val="0"/>
        <w:widowControl w:val="0"/>
        <w:kinsoku/>
        <w:wordWrap/>
        <w:overflowPunct/>
        <w:topLinePunct w:val="0"/>
        <w:autoSpaceDE/>
        <w:autoSpaceDN/>
        <w:bidi w:val="0"/>
        <w:adjustRightInd/>
        <w:snapToGrid/>
        <w:spacing w:line="400" w:lineRule="exact"/>
        <w:ind w:firstLine="486"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24.3.4提起投诉的日期。</w:t>
      </w:r>
    </w:p>
    <w:p w14:paraId="2F99B6CD">
      <w:pPr>
        <w:keepNext w:val="0"/>
        <w:keepLines w:val="0"/>
        <w:pageBreakBefore w:val="0"/>
        <w:widowControl w:val="0"/>
        <w:kinsoku/>
        <w:wordWrap/>
        <w:overflowPunct/>
        <w:topLinePunct w:val="0"/>
        <w:autoSpaceDE/>
        <w:autoSpaceDN/>
        <w:bidi w:val="0"/>
        <w:adjustRightInd/>
        <w:snapToGrid/>
        <w:spacing w:line="400" w:lineRule="exact"/>
        <w:ind w:firstLine="486"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投诉书应当署名。投诉人为法人或者其他组织的，应当由法定代表人或者主要负责人签字并加盖单位行政公章。</w:t>
      </w:r>
    </w:p>
    <w:p w14:paraId="396E67AB">
      <w:pPr>
        <w:keepNext w:val="0"/>
        <w:keepLines w:val="0"/>
        <w:pageBreakBefore w:val="0"/>
        <w:widowControl w:val="0"/>
        <w:kinsoku/>
        <w:wordWrap/>
        <w:overflowPunct/>
        <w:topLinePunct w:val="0"/>
        <w:autoSpaceDE/>
        <w:autoSpaceDN/>
        <w:bidi w:val="0"/>
        <w:adjustRightInd/>
        <w:snapToGrid/>
        <w:spacing w:line="400" w:lineRule="exact"/>
        <w:ind w:firstLine="486"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24.4供应商如需质疑或投诉。应当按照法律规定的先质疑、后投诉的程序进行，并不得虚假恶意投诉。否则，监管机构将依据枝江市公共资源交易的有关规定，将其列入不良行为记录名单，并依法予以处罚。</w:t>
      </w:r>
      <w:bookmarkStart w:id="81" w:name="_Toc465324872"/>
      <w:bookmarkStart w:id="82" w:name="_Toc22840"/>
    </w:p>
    <w:p w14:paraId="23BE6203">
      <w:pPr>
        <w:spacing w:line="400" w:lineRule="exact"/>
        <w:ind w:firstLine="486" w:firstLineChars="200"/>
        <w:rPr>
          <w:rFonts w:hint="eastAsia" w:ascii="宋体" w:hAnsi="宋体" w:eastAsia="宋体" w:cs="宋体"/>
          <w:color w:val="auto"/>
          <w:sz w:val="24"/>
          <w:szCs w:val="24"/>
          <w:highlight w:val="none"/>
        </w:rPr>
      </w:pPr>
    </w:p>
    <w:p w14:paraId="1AE21913">
      <w:pPr>
        <w:spacing w:line="400" w:lineRule="exact"/>
        <w:ind w:firstLine="486" w:firstLineChars="200"/>
        <w:rPr>
          <w:rFonts w:hint="eastAsia" w:ascii="宋体" w:hAnsi="宋体" w:eastAsia="宋体" w:cs="宋体"/>
          <w:color w:val="auto"/>
          <w:sz w:val="24"/>
          <w:szCs w:val="24"/>
          <w:highlight w:val="none"/>
        </w:rPr>
      </w:pPr>
    </w:p>
    <w:p w14:paraId="6BB2A994">
      <w:pPr>
        <w:spacing w:line="400" w:lineRule="exact"/>
        <w:ind w:firstLine="486" w:firstLineChars="200"/>
        <w:rPr>
          <w:rFonts w:hint="eastAsia" w:ascii="宋体" w:hAnsi="宋体" w:eastAsia="宋体" w:cs="宋体"/>
          <w:color w:val="auto"/>
          <w:sz w:val="24"/>
          <w:szCs w:val="24"/>
          <w:highlight w:val="none"/>
        </w:rPr>
      </w:pPr>
    </w:p>
    <w:p w14:paraId="6F2935E9">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p>
    <w:bookmarkEnd w:id="81"/>
    <w:bookmarkEnd w:id="82"/>
    <w:p w14:paraId="6A0A7ADD">
      <w:pPr>
        <w:pStyle w:val="2"/>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eastAsia="宋体" w:cs="宋体"/>
          <w:color w:val="auto"/>
          <w:sz w:val="36"/>
          <w:szCs w:val="36"/>
          <w:highlight w:val="none"/>
        </w:rPr>
      </w:pPr>
      <w:bookmarkStart w:id="83" w:name="_Toc3477"/>
      <w:bookmarkStart w:id="84" w:name="_Toc15391"/>
      <w:bookmarkStart w:id="85" w:name="_Toc465324873"/>
      <w:r>
        <w:rPr>
          <w:rFonts w:hint="eastAsia" w:ascii="宋体" w:hAnsi="宋体" w:eastAsia="宋体" w:cs="宋体"/>
          <w:color w:val="auto"/>
          <w:sz w:val="36"/>
          <w:szCs w:val="36"/>
          <w:highlight w:val="none"/>
        </w:rPr>
        <w:t xml:space="preserve">第三章  </w:t>
      </w:r>
      <w:r>
        <w:rPr>
          <w:rFonts w:hint="eastAsia" w:ascii="宋体" w:hAnsi="宋体" w:eastAsia="宋体" w:cs="宋体"/>
          <w:color w:val="auto"/>
          <w:sz w:val="36"/>
          <w:szCs w:val="36"/>
          <w:highlight w:val="none"/>
          <w:lang w:eastAsia="zh-CN"/>
        </w:rPr>
        <w:t>采购需求</w:t>
      </w:r>
      <w:bookmarkEnd w:id="83"/>
      <w:bookmarkEnd w:id="84"/>
    </w:p>
    <w:p w14:paraId="4E3E03BE">
      <w:pPr>
        <w:keepNext w:val="0"/>
        <w:keepLines w:val="0"/>
        <w:pageBreakBefore w:val="0"/>
        <w:widowControl w:val="0"/>
        <w:kinsoku/>
        <w:wordWrap/>
        <w:overflowPunct/>
        <w:topLinePunct w:val="0"/>
        <w:autoSpaceDE/>
        <w:autoSpaceDN/>
        <w:bidi w:val="0"/>
        <w:adjustRightInd/>
        <w:snapToGrid/>
        <w:spacing w:line="440" w:lineRule="exact"/>
        <w:ind w:right="0" w:firstLine="539" w:firstLineChars="191"/>
        <w:textAlignment w:val="auto"/>
        <w:rPr>
          <w:rFonts w:hint="eastAsia" w:ascii="宋体" w:hAnsi="宋体" w:eastAsia="宋体" w:cs="宋体"/>
          <w:b/>
          <w:bCs/>
          <w:color w:val="auto"/>
          <w:sz w:val="28"/>
          <w:szCs w:val="28"/>
        </w:rPr>
      </w:pPr>
      <w:r>
        <w:rPr>
          <w:rFonts w:hint="eastAsia" w:ascii="宋体" w:hAnsi="宋体" w:eastAsia="宋体" w:cs="宋体"/>
          <w:b/>
          <w:bCs/>
          <w:color w:val="auto"/>
          <w:sz w:val="28"/>
          <w:szCs w:val="28"/>
        </w:rPr>
        <w:t>一、项目</w:t>
      </w:r>
      <w:r>
        <w:rPr>
          <w:rFonts w:hint="eastAsia" w:ascii="宋体" w:hAnsi="宋体" w:eastAsia="宋体" w:cs="宋体"/>
          <w:b/>
          <w:bCs/>
          <w:color w:val="auto"/>
          <w:sz w:val="28"/>
          <w:szCs w:val="28"/>
          <w:lang w:eastAsia="zh-CN"/>
        </w:rPr>
        <w:t>情</w:t>
      </w:r>
      <w:r>
        <w:rPr>
          <w:rFonts w:hint="eastAsia" w:ascii="宋体" w:hAnsi="宋体" w:eastAsia="宋体" w:cs="宋体"/>
          <w:b/>
          <w:bCs/>
          <w:color w:val="auto"/>
          <w:sz w:val="28"/>
          <w:szCs w:val="28"/>
        </w:rPr>
        <w:t>况</w:t>
      </w:r>
    </w:p>
    <w:p w14:paraId="4CA5F839">
      <w:pPr>
        <w:keepNext w:val="0"/>
        <w:keepLines w:val="0"/>
        <w:pageBreakBefore w:val="0"/>
        <w:widowControl w:val="0"/>
        <w:kinsoku/>
        <w:wordWrap/>
        <w:overflowPunct/>
        <w:topLinePunct w:val="0"/>
        <w:autoSpaceDE/>
        <w:autoSpaceDN/>
        <w:bidi w:val="0"/>
        <w:adjustRightInd/>
        <w:snapToGrid/>
        <w:spacing w:line="440" w:lineRule="exact"/>
        <w:ind w:right="0" w:firstLine="539" w:firstLineChars="191"/>
        <w:textAlignment w:val="auto"/>
        <w:rPr>
          <w:rFonts w:hint="eastAsia" w:ascii="宋体" w:hAnsi="宋体" w:eastAsia="宋体" w:cs="宋体"/>
          <w:bCs/>
          <w:color w:val="auto"/>
          <w:sz w:val="28"/>
          <w:szCs w:val="28"/>
          <w:u w:val="none"/>
          <w:lang w:val="en-US" w:eastAsia="zh-CN"/>
        </w:rPr>
      </w:pPr>
      <w:r>
        <w:rPr>
          <w:rFonts w:hint="eastAsia" w:ascii="宋体" w:hAnsi="宋体" w:eastAsia="宋体" w:cs="宋体"/>
          <w:bCs/>
          <w:color w:val="auto"/>
          <w:sz w:val="28"/>
          <w:szCs w:val="28"/>
          <w:u w:val="none"/>
          <w:lang w:val="en-US" w:eastAsia="zh-CN"/>
        </w:rPr>
        <w:t>1.项目名称：安福寺镇生活垃圾转运、无害化处理服务采购项目</w:t>
      </w:r>
    </w:p>
    <w:p w14:paraId="388FB397">
      <w:pPr>
        <w:keepNext w:val="0"/>
        <w:keepLines w:val="0"/>
        <w:pageBreakBefore w:val="0"/>
        <w:widowControl w:val="0"/>
        <w:kinsoku/>
        <w:wordWrap/>
        <w:overflowPunct/>
        <w:topLinePunct w:val="0"/>
        <w:autoSpaceDE/>
        <w:autoSpaceDN/>
        <w:bidi w:val="0"/>
        <w:adjustRightInd/>
        <w:snapToGrid/>
        <w:spacing w:line="440" w:lineRule="exact"/>
        <w:ind w:right="0" w:firstLine="539" w:firstLineChars="191"/>
        <w:textAlignment w:val="auto"/>
        <w:rPr>
          <w:rFonts w:hint="eastAsia" w:ascii="宋体" w:hAnsi="宋体" w:eastAsia="宋体" w:cs="宋体"/>
          <w:bCs/>
          <w:color w:val="auto"/>
          <w:sz w:val="28"/>
          <w:szCs w:val="28"/>
          <w:u w:val="none"/>
          <w:lang w:val="en-US" w:eastAsia="zh-CN"/>
        </w:rPr>
      </w:pPr>
      <w:r>
        <w:rPr>
          <w:rFonts w:hint="eastAsia" w:ascii="宋体" w:hAnsi="宋体" w:eastAsia="宋体" w:cs="宋体"/>
          <w:bCs/>
          <w:color w:val="auto"/>
          <w:sz w:val="28"/>
          <w:szCs w:val="28"/>
          <w:u w:val="none"/>
          <w:lang w:val="en-US" w:eastAsia="zh-CN"/>
        </w:rPr>
        <w:t>2.项目概况：安福寺镇生活垃圾需运往石宝山垃圾填埋场进行无害化处理。为确保镇域生活垃圾及时清运、处置，保障市容环境整洁，拟采购有资质的运输企业提供服务。（详见第三章采购需求）</w:t>
      </w:r>
    </w:p>
    <w:p w14:paraId="13A60B5F">
      <w:pPr>
        <w:keepNext w:val="0"/>
        <w:keepLines w:val="0"/>
        <w:pageBreakBefore w:val="0"/>
        <w:widowControl w:val="0"/>
        <w:kinsoku/>
        <w:wordWrap/>
        <w:overflowPunct/>
        <w:topLinePunct w:val="0"/>
        <w:autoSpaceDE/>
        <w:autoSpaceDN/>
        <w:bidi w:val="0"/>
        <w:adjustRightInd/>
        <w:snapToGrid/>
        <w:spacing w:line="440" w:lineRule="exact"/>
        <w:ind w:right="0" w:firstLine="566"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3.最高限价：330030.20元</w:t>
      </w:r>
    </w:p>
    <w:p w14:paraId="38A5E0B2">
      <w:pPr>
        <w:keepNext w:val="0"/>
        <w:keepLines w:val="0"/>
        <w:pageBreakBefore w:val="0"/>
        <w:widowControl w:val="0"/>
        <w:kinsoku/>
        <w:wordWrap/>
        <w:overflowPunct/>
        <w:topLinePunct w:val="0"/>
        <w:autoSpaceDE/>
        <w:autoSpaceDN/>
        <w:bidi w:val="0"/>
        <w:adjustRightInd/>
        <w:snapToGrid/>
        <w:spacing w:line="440" w:lineRule="exact"/>
        <w:ind w:right="0" w:firstLine="566"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4.合同履行期限：</w:t>
      </w:r>
      <w:r>
        <w:rPr>
          <w:rFonts w:hint="eastAsia" w:ascii="宋体" w:hAnsi="宋体" w:cs="宋体"/>
          <w:color w:val="auto"/>
          <w:sz w:val="28"/>
          <w:szCs w:val="28"/>
          <w:highlight w:val="none"/>
          <w:lang w:val="en-US" w:eastAsia="zh-CN"/>
        </w:rPr>
        <w:t>合同签订之日起一年。（合同期满后经采购人综合评价，满意度高、服务验收优秀可续签下一年度服务合同，最多续签两次，累计服务期限最长不超过三年。）</w:t>
      </w:r>
    </w:p>
    <w:p w14:paraId="239D8A20">
      <w:pPr>
        <w:keepNext w:val="0"/>
        <w:keepLines w:val="0"/>
        <w:pageBreakBefore w:val="0"/>
        <w:widowControl w:val="0"/>
        <w:kinsoku/>
        <w:wordWrap/>
        <w:overflowPunct/>
        <w:topLinePunct w:val="0"/>
        <w:autoSpaceDE/>
        <w:autoSpaceDN/>
        <w:bidi w:val="0"/>
        <w:adjustRightInd/>
        <w:snapToGrid/>
        <w:spacing w:line="440" w:lineRule="exact"/>
        <w:ind w:right="0" w:firstLine="566"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5.质量要求：符合《安福寺镇环卫作业质量考核办法》要求、按现行规范标准执行，符合国家相关规定、规程，满足业主要求，顺利通过各部门的验收。</w:t>
      </w:r>
    </w:p>
    <w:p w14:paraId="363767F8">
      <w:pPr>
        <w:keepNext w:val="0"/>
        <w:keepLines w:val="0"/>
        <w:pageBreakBefore w:val="0"/>
        <w:widowControl w:val="0"/>
        <w:kinsoku/>
        <w:wordWrap/>
        <w:overflowPunct/>
        <w:topLinePunct w:val="0"/>
        <w:autoSpaceDE/>
        <w:autoSpaceDN/>
        <w:bidi w:val="0"/>
        <w:adjustRightInd/>
        <w:snapToGrid/>
        <w:spacing w:line="440" w:lineRule="exact"/>
        <w:ind w:right="0" w:firstLine="566" w:firstLineChars="200"/>
        <w:textAlignment w:val="auto"/>
        <w:rPr>
          <w:rFonts w:hint="default"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6.安全要求：达到国家现行施工验收规范合格等级标准，避免发生重大安全事故。</w:t>
      </w:r>
    </w:p>
    <w:p w14:paraId="45ADA479">
      <w:pPr>
        <w:keepNext w:val="0"/>
        <w:keepLines w:val="0"/>
        <w:pageBreakBefore w:val="0"/>
        <w:widowControl w:val="0"/>
        <w:kinsoku/>
        <w:wordWrap/>
        <w:overflowPunct/>
        <w:topLinePunct w:val="0"/>
        <w:autoSpaceDE/>
        <w:autoSpaceDN/>
        <w:bidi w:val="0"/>
        <w:adjustRightInd/>
        <w:snapToGrid/>
        <w:spacing w:line="440" w:lineRule="exact"/>
        <w:ind w:right="0" w:firstLine="566" w:firstLineChars="200"/>
        <w:textAlignment w:val="auto"/>
        <w:rPr>
          <w:rFonts w:hint="default"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7.付款方式：计划按月付款，每月按实际转运垃圾吨位，以每吨每公里计算，承运方凭发票进行按月拨付。（以上未付款项均不计利息）</w:t>
      </w:r>
    </w:p>
    <w:p w14:paraId="7EBC52AE">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right="0" w:rightChars="0" w:firstLine="566" w:firstLineChars="200"/>
        <w:textAlignment w:val="auto"/>
        <w:rPr>
          <w:rFonts w:hint="eastAsia" w:ascii="宋体" w:hAnsi="宋体" w:cs="宋体"/>
          <w:b/>
          <w:bCs/>
          <w:color w:val="auto"/>
          <w:sz w:val="28"/>
          <w:szCs w:val="28"/>
          <w:highlight w:val="none"/>
          <w:lang w:eastAsia="zh-CN"/>
        </w:rPr>
      </w:pPr>
      <w:r>
        <w:rPr>
          <w:rFonts w:hint="eastAsia" w:ascii="宋体" w:hAnsi="宋体" w:cs="宋体"/>
          <w:b/>
          <w:bCs/>
          <w:color w:val="auto"/>
          <w:sz w:val="28"/>
          <w:szCs w:val="28"/>
          <w:highlight w:val="none"/>
          <w:lang w:eastAsia="zh-CN"/>
        </w:rPr>
        <w:t>二、服务清单</w:t>
      </w:r>
    </w:p>
    <w:tbl>
      <w:tblPr>
        <w:tblStyle w:val="17"/>
        <w:tblW w:w="0" w:type="auto"/>
        <w:tblInd w:w="128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5"/>
        <w:gridCol w:w="2415"/>
        <w:gridCol w:w="1500"/>
        <w:gridCol w:w="2685"/>
      </w:tblGrid>
      <w:tr w14:paraId="67BA4F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5" w:type="dxa"/>
          </w:tcPr>
          <w:p w14:paraId="7FF53547">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right="0" w:rightChars="0"/>
              <w:jc w:val="center"/>
              <w:textAlignment w:val="auto"/>
              <w:rPr>
                <w:rFonts w:hint="eastAsia" w:ascii="宋体" w:hAnsi="宋体" w:cs="宋体"/>
                <w:b w:val="0"/>
                <w:bCs w:val="0"/>
                <w:color w:val="auto"/>
                <w:sz w:val="24"/>
                <w:szCs w:val="24"/>
                <w:highlight w:val="none"/>
                <w:vertAlign w:val="baseline"/>
                <w:lang w:eastAsia="zh-CN"/>
              </w:rPr>
            </w:pPr>
            <w:r>
              <w:rPr>
                <w:rFonts w:hint="eastAsia" w:ascii="宋体" w:hAnsi="宋体" w:cs="宋体"/>
                <w:b w:val="0"/>
                <w:bCs w:val="0"/>
                <w:color w:val="auto"/>
                <w:sz w:val="24"/>
                <w:szCs w:val="24"/>
                <w:highlight w:val="none"/>
                <w:vertAlign w:val="baseline"/>
                <w:lang w:eastAsia="zh-CN"/>
              </w:rPr>
              <w:t>序号</w:t>
            </w:r>
          </w:p>
        </w:tc>
        <w:tc>
          <w:tcPr>
            <w:tcW w:w="2415" w:type="dxa"/>
          </w:tcPr>
          <w:p w14:paraId="34D4C018">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right="0" w:rightChars="0"/>
              <w:jc w:val="center"/>
              <w:textAlignment w:val="auto"/>
              <w:rPr>
                <w:rFonts w:hint="eastAsia" w:ascii="宋体" w:hAnsi="宋体" w:cs="宋体"/>
                <w:b w:val="0"/>
                <w:bCs w:val="0"/>
                <w:color w:val="auto"/>
                <w:sz w:val="24"/>
                <w:szCs w:val="24"/>
                <w:highlight w:val="none"/>
                <w:vertAlign w:val="baseline"/>
                <w:lang w:eastAsia="zh-CN"/>
              </w:rPr>
            </w:pPr>
            <w:r>
              <w:rPr>
                <w:rFonts w:hint="eastAsia" w:ascii="宋体" w:hAnsi="宋体" w:cs="宋体"/>
                <w:b w:val="0"/>
                <w:bCs w:val="0"/>
                <w:color w:val="auto"/>
                <w:sz w:val="24"/>
                <w:szCs w:val="24"/>
                <w:highlight w:val="none"/>
                <w:vertAlign w:val="baseline"/>
                <w:lang w:eastAsia="zh-CN"/>
              </w:rPr>
              <w:t>名称</w:t>
            </w:r>
          </w:p>
        </w:tc>
        <w:tc>
          <w:tcPr>
            <w:tcW w:w="1500" w:type="dxa"/>
            <w:vAlign w:val="top"/>
          </w:tcPr>
          <w:p w14:paraId="18E7F50C">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right="0" w:rightChars="0" w:firstLine="0" w:firstLineChars="0"/>
              <w:jc w:val="center"/>
              <w:textAlignment w:val="auto"/>
              <w:rPr>
                <w:rFonts w:hint="eastAsia" w:ascii="宋体" w:hAnsi="宋体" w:cs="宋体"/>
                <w:b w:val="0"/>
                <w:bCs w:val="0"/>
                <w:color w:val="auto"/>
                <w:sz w:val="24"/>
                <w:szCs w:val="24"/>
                <w:highlight w:val="none"/>
                <w:vertAlign w:val="baseline"/>
                <w:lang w:eastAsia="zh-CN"/>
              </w:rPr>
            </w:pPr>
            <w:r>
              <w:rPr>
                <w:rFonts w:hint="eastAsia" w:ascii="宋体" w:hAnsi="宋体" w:cs="宋体"/>
                <w:b w:val="0"/>
                <w:bCs w:val="0"/>
                <w:color w:val="auto"/>
                <w:sz w:val="24"/>
                <w:szCs w:val="24"/>
                <w:highlight w:val="none"/>
                <w:vertAlign w:val="baseline"/>
                <w:lang w:eastAsia="zh-CN"/>
              </w:rPr>
              <w:t>运距</w:t>
            </w:r>
          </w:p>
        </w:tc>
        <w:tc>
          <w:tcPr>
            <w:tcW w:w="2685" w:type="dxa"/>
          </w:tcPr>
          <w:p w14:paraId="3BB2FC40">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right="0" w:rightChars="0"/>
              <w:jc w:val="center"/>
              <w:textAlignment w:val="auto"/>
              <w:rPr>
                <w:rFonts w:hint="eastAsia" w:ascii="宋体" w:hAnsi="宋体" w:cs="宋体"/>
                <w:b w:val="0"/>
                <w:bCs w:val="0"/>
                <w:color w:val="auto"/>
                <w:sz w:val="24"/>
                <w:szCs w:val="24"/>
                <w:highlight w:val="none"/>
                <w:vertAlign w:val="baseline"/>
                <w:lang w:eastAsia="zh-CN"/>
              </w:rPr>
            </w:pPr>
            <w:r>
              <w:rPr>
                <w:rFonts w:hint="eastAsia" w:ascii="宋体" w:hAnsi="宋体" w:cs="宋体"/>
                <w:b w:val="0"/>
                <w:bCs w:val="0"/>
                <w:color w:val="auto"/>
                <w:sz w:val="24"/>
                <w:szCs w:val="24"/>
                <w:highlight w:val="none"/>
                <w:vertAlign w:val="baseline"/>
                <w:lang w:eastAsia="zh-CN"/>
              </w:rPr>
              <w:t>预算单价</w:t>
            </w:r>
          </w:p>
        </w:tc>
      </w:tr>
      <w:tr w14:paraId="5A4FC3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5" w:type="dxa"/>
          </w:tcPr>
          <w:p w14:paraId="4A304B69">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right="0" w:rightChars="0"/>
              <w:jc w:val="center"/>
              <w:textAlignment w:val="auto"/>
              <w:rPr>
                <w:rFonts w:hint="default" w:ascii="宋体" w:hAnsi="宋体" w:cs="宋体"/>
                <w:b w:val="0"/>
                <w:bCs w:val="0"/>
                <w:color w:val="auto"/>
                <w:sz w:val="24"/>
                <w:szCs w:val="24"/>
                <w:highlight w:val="none"/>
                <w:vertAlign w:val="baseline"/>
                <w:lang w:val="en-US" w:eastAsia="zh-CN"/>
              </w:rPr>
            </w:pPr>
            <w:r>
              <w:rPr>
                <w:rFonts w:hint="eastAsia" w:ascii="宋体" w:hAnsi="宋体" w:cs="宋体"/>
                <w:b w:val="0"/>
                <w:bCs w:val="0"/>
                <w:color w:val="auto"/>
                <w:sz w:val="24"/>
                <w:szCs w:val="24"/>
                <w:highlight w:val="none"/>
                <w:vertAlign w:val="baseline"/>
                <w:lang w:val="en-US" w:eastAsia="zh-CN"/>
              </w:rPr>
              <w:t>1</w:t>
            </w:r>
          </w:p>
        </w:tc>
        <w:tc>
          <w:tcPr>
            <w:tcW w:w="2415" w:type="dxa"/>
          </w:tcPr>
          <w:p w14:paraId="6A60A152">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right="0" w:rightChars="0"/>
              <w:jc w:val="center"/>
              <w:textAlignment w:val="auto"/>
              <w:rPr>
                <w:rFonts w:hint="eastAsia" w:ascii="宋体" w:hAnsi="宋体" w:cs="宋体"/>
                <w:b w:val="0"/>
                <w:bCs w:val="0"/>
                <w:color w:val="auto"/>
                <w:sz w:val="24"/>
                <w:szCs w:val="24"/>
                <w:highlight w:val="none"/>
                <w:vertAlign w:val="baseline"/>
                <w:lang w:eastAsia="zh-CN"/>
              </w:rPr>
            </w:pPr>
            <w:r>
              <w:rPr>
                <w:rFonts w:hint="eastAsia" w:ascii="宋体" w:hAnsi="宋体" w:cs="宋体"/>
                <w:b w:val="0"/>
                <w:bCs w:val="0"/>
                <w:color w:val="auto"/>
                <w:sz w:val="24"/>
                <w:szCs w:val="24"/>
                <w:highlight w:val="none"/>
                <w:vertAlign w:val="baseline"/>
                <w:lang w:eastAsia="zh-CN"/>
              </w:rPr>
              <w:t>紫荆岭压缩站</w:t>
            </w:r>
          </w:p>
        </w:tc>
        <w:tc>
          <w:tcPr>
            <w:tcW w:w="1500" w:type="dxa"/>
            <w:vAlign w:val="top"/>
          </w:tcPr>
          <w:p w14:paraId="577666CD">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right="0" w:rightChars="0" w:firstLine="0" w:firstLineChars="0"/>
              <w:jc w:val="center"/>
              <w:textAlignment w:val="auto"/>
              <w:rPr>
                <w:rFonts w:hint="eastAsia" w:ascii="宋体" w:hAnsi="宋体" w:cs="宋体"/>
                <w:b w:val="0"/>
                <w:bCs w:val="0"/>
                <w:color w:val="auto"/>
                <w:sz w:val="24"/>
                <w:szCs w:val="24"/>
                <w:highlight w:val="none"/>
                <w:vertAlign w:val="baseline"/>
                <w:lang w:eastAsia="zh-CN"/>
              </w:rPr>
            </w:pPr>
            <w:r>
              <w:rPr>
                <w:rFonts w:hint="eastAsia" w:ascii="宋体" w:hAnsi="宋体" w:cs="宋体"/>
                <w:b w:val="0"/>
                <w:bCs w:val="0"/>
                <w:color w:val="auto"/>
                <w:sz w:val="24"/>
                <w:szCs w:val="24"/>
                <w:highlight w:val="none"/>
                <w:vertAlign w:val="baseline"/>
                <w:lang w:eastAsia="zh-CN"/>
              </w:rPr>
              <w:t>27km</w:t>
            </w:r>
          </w:p>
        </w:tc>
        <w:tc>
          <w:tcPr>
            <w:tcW w:w="2685" w:type="dxa"/>
          </w:tcPr>
          <w:p w14:paraId="1FB7343F">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right="0" w:rightChars="0"/>
              <w:jc w:val="center"/>
              <w:textAlignment w:val="auto"/>
              <w:rPr>
                <w:rFonts w:hint="eastAsia" w:ascii="宋体" w:hAnsi="宋体" w:cs="宋体"/>
                <w:b w:val="0"/>
                <w:bCs w:val="0"/>
                <w:color w:val="auto"/>
                <w:sz w:val="24"/>
                <w:szCs w:val="24"/>
                <w:highlight w:val="none"/>
                <w:vertAlign w:val="baseline"/>
                <w:lang w:eastAsia="zh-CN"/>
              </w:rPr>
            </w:pPr>
            <w:r>
              <w:rPr>
                <w:rFonts w:hint="eastAsia" w:ascii="宋体" w:hAnsi="宋体" w:cs="宋体"/>
                <w:b w:val="0"/>
                <w:bCs w:val="0"/>
                <w:color w:val="auto"/>
                <w:sz w:val="24"/>
                <w:szCs w:val="24"/>
                <w:highlight w:val="none"/>
                <w:vertAlign w:val="baseline"/>
                <w:lang w:eastAsia="zh-CN"/>
              </w:rPr>
              <w:t>1.31元/吨/公里</w:t>
            </w:r>
          </w:p>
        </w:tc>
      </w:tr>
      <w:tr w14:paraId="77F146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5" w:type="dxa"/>
          </w:tcPr>
          <w:p w14:paraId="206A234B">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right="0" w:rightChars="0"/>
              <w:jc w:val="center"/>
              <w:textAlignment w:val="auto"/>
              <w:rPr>
                <w:rFonts w:hint="default" w:ascii="宋体" w:hAnsi="宋体" w:cs="宋体"/>
                <w:b w:val="0"/>
                <w:bCs w:val="0"/>
                <w:color w:val="auto"/>
                <w:sz w:val="24"/>
                <w:szCs w:val="24"/>
                <w:highlight w:val="none"/>
                <w:vertAlign w:val="baseline"/>
                <w:lang w:val="en-US" w:eastAsia="zh-CN"/>
              </w:rPr>
            </w:pPr>
            <w:r>
              <w:rPr>
                <w:rFonts w:hint="eastAsia" w:ascii="宋体" w:hAnsi="宋体" w:cs="宋体"/>
                <w:b w:val="0"/>
                <w:bCs w:val="0"/>
                <w:color w:val="auto"/>
                <w:sz w:val="24"/>
                <w:szCs w:val="24"/>
                <w:highlight w:val="none"/>
                <w:vertAlign w:val="baseline"/>
                <w:lang w:val="en-US" w:eastAsia="zh-CN"/>
              </w:rPr>
              <w:t>2</w:t>
            </w:r>
          </w:p>
        </w:tc>
        <w:tc>
          <w:tcPr>
            <w:tcW w:w="2415" w:type="dxa"/>
          </w:tcPr>
          <w:p w14:paraId="54AD2382">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right="0" w:rightChars="0"/>
              <w:jc w:val="center"/>
              <w:textAlignment w:val="auto"/>
              <w:rPr>
                <w:rFonts w:hint="eastAsia" w:ascii="宋体" w:hAnsi="宋体" w:cs="宋体"/>
                <w:b w:val="0"/>
                <w:bCs w:val="0"/>
                <w:color w:val="auto"/>
                <w:sz w:val="24"/>
                <w:szCs w:val="24"/>
                <w:highlight w:val="none"/>
                <w:vertAlign w:val="baseline"/>
                <w:lang w:eastAsia="zh-CN"/>
              </w:rPr>
            </w:pPr>
            <w:r>
              <w:rPr>
                <w:rFonts w:hint="eastAsia" w:ascii="宋体" w:hAnsi="宋体" w:cs="宋体"/>
                <w:b w:val="0"/>
                <w:bCs w:val="0"/>
                <w:color w:val="auto"/>
                <w:sz w:val="24"/>
                <w:szCs w:val="24"/>
                <w:highlight w:val="none"/>
                <w:vertAlign w:val="baseline"/>
                <w:lang w:eastAsia="zh-CN"/>
              </w:rPr>
              <w:t>安福寺压缩站</w:t>
            </w:r>
          </w:p>
        </w:tc>
        <w:tc>
          <w:tcPr>
            <w:tcW w:w="1500" w:type="dxa"/>
            <w:vAlign w:val="top"/>
          </w:tcPr>
          <w:p w14:paraId="5DC3FC0D">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right="0" w:rightChars="0" w:firstLine="0" w:firstLineChars="0"/>
              <w:jc w:val="center"/>
              <w:textAlignment w:val="auto"/>
              <w:rPr>
                <w:rFonts w:hint="eastAsia" w:ascii="宋体" w:hAnsi="宋体" w:cs="宋体"/>
                <w:b w:val="0"/>
                <w:bCs w:val="0"/>
                <w:color w:val="auto"/>
                <w:sz w:val="24"/>
                <w:szCs w:val="24"/>
                <w:highlight w:val="none"/>
                <w:vertAlign w:val="baseline"/>
                <w:lang w:eastAsia="zh-CN"/>
              </w:rPr>
            </w:pPr>
            <w:r>
              <w:rPr>
                <w:rFonts w:hint="eastAsia" w:ascii="宋体" w:hAnsi="宋体" w:cs="宋体"/>
                <w:b w:val="0"/>
                <w:bCs w:val="0"/>
                <w:color w:val="auto"/>
                <w:sz w:val="24"/>
                <w:szCs w:val="24"/>
                <w:highlight w:val="none"/>
                <w:vertAlign w:val="baseline"/>
                <w:lang w:eastAsia="zh-CN"/>
              </w:rPr>
              <w:t>28km</w:t>
            </w:r>
          </w:p>
        </w:tc>
        <w:tc>
          <w:tcPr>
            <w:tcW w:w="2685" w:type="dxa"/>
          </w:tcPr>
          <w:p w14:paraId="78CD6BEA">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right="0" w:rightChars="0"/>
              <w:jc w:val="center"/>
              <w:textAlignment w:val="auto"/>
              <w:rPr>
                <w:rFonts w:hint="eastAsia" w:ascii="宋体" w:hAnsi="宋体" w:cs="宋体"/>
                <w:b w:val="0"/>
                <w:bCs w:val="0"/>
                <w:color w:val="auto"/>
                <w:sz w:val="24"/>
                <w:szCs w:val="24"/>
                <w:highlight w:val="none"/>
                <w:vertAlign w:val="baseline"/>
                <w:lang w:eastAsia="zh-CN"/>
              </w:rPr>
            </w:pPr>
            <w:r>
              <w:rPr>
                <w:rFonts w:hint="eastAsia" w:ascii="宋体" w:hAnsi="宋体" w:cs="宋体"/>
                <w:b w:val="0"/>
                <w:bCs w:val="0"/>
                <w:color w:val="auto"/>
                <w:sz w:val="24"/>
                <w:szCs w:val="24"/>
                <w:highlight w:val="none"/>
                <w:vertAlign w:val="baseline"/>
                <w:lang w:eastAsia="zh-CN"/>
              </w:rPr>
              <w:t>1.3元/吨/公里</w:t>
            </w:r>
          </w:p>
        </w:tc>
      </w:tr>
      <w:tr w14:paraId="3CA4B1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5" w:type="dxa"/>
          </w:tcPr>
          <w:p w14:paraId="5E34072D">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right="0" w:rightChars="0"/>
              <w:jc w:val="center"/>
              <w:textAlignment w:val="auto"/>
              <w:rPr>
                <w:rFonts w:hint="default" w:ascii="宋体" w:hAnsi="宋体" w:cs="宋体"/>
                <w:b w:val="0"/>
                <w:bCs w:val="0"/>
                <w:color w:val="auto"/>
                <w:sz w:val="24"/>
                <w:szCs w:val="24"/>
                <w:highlight w:val="none"/>
                <w:vertAlign w:val="baseline"/>
                <w:lang w:val="en-US" w:eastAsia="zh-CN"/>
              </w:rPr>
            </w:pPr>
            <w:r>
              <w:rPr>
                <w:rFonts w:hint="eastAsia" w:ascii="宋体" w:hAnsi="宋体" w:cs="宋体"/>
                <w:b w:val="0"/>
                <w:bCs w:val="0"/>
                <w:color w:val="auto"/>
                <w:sz w:val="24"/>
                <w:szCs w:val="24"/>
                <w:highlight w:val="none"/>
                <w:vertAlign w:val="baseline"/>
                <w:lang w:val="en-US" w:eastAsia="zh-CN"/>
              </w:rPr>
              <w:t>3</w:t>
            </w:r>
          </w:p>
        </w:tc>
        <w:tc>
          <w:tcPr>
            <w:tcW w:w="2415" w:type="dxa"/>
          </w:tcPr>
          <w:p w14:paraId="25720BA5">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right="0" w:rightChars="0"/>
              <w:jc w:val="center"/>
              <w:textAlignment w:val="auto"/>
              <w:rPr>
                <w:rFonts w:hint="eastAsia" w:ascii="宋体" w:hAnsi="宋体" w:cs="宋体"/>
                <w:b w:val="0"/>
                <w:bCs w:val="0"/>
                <w:color w:val="auto"/>
                <w:sz w:val="24"/>
                <w:szCs w:val="24"/>
                <w:highlight w:val="none"/>
                <w:vertAlign w:val="baseline"/>
                <w:lang w:eastAsia="zh-CN"/>
              </w:rPr>
            </w:pPr>
            <w:r>
              <w:rPr>
                <w:rFonts w:hint="eastAsia" w:ascii="宋体" w:hAnsi="宋体" w:cs="宋体"/>
                <w:b w:val="0"/>
                <w:bCs w:val="0"/>
                <w:color w:val="auto"/>
                <w:sz w:val="24"/>
                <w:szCs w:val="24"/>
                <w:highlight w:val="none"/>
                <w:vertAlign w:val="baseline"/>
                <w:lang w:eastAsia="zh-CN"/>
              </w:rPr>
              <w:t>瑶华压缩站</w:t>
            </w:r>
          </w:p>
        </w:tc>
        <w:tc>
          <w:tcPr>
            <w:tcW w:w="1500" w:type="dxa"/>
            <w:vAlign w:val="top"/>
          </w:tcPr>
          <w:p w14:paraId="38C90678">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right="0" w:rightChars="0" w:firstLine="0" w:firstLineChars="0"/>
              <w:jc w:val="center"/>
              <w:textAlignment w:val="auto"/>
              <w:rPr>
                <w:rFonts w:hint="eastAsia" w:ascii="宋体" w:hAnsi="宋体" w:cs="宋体"/>
                <w:b w:val="0"/>
                <w:bCs w:val="0"/>
                <w:color w:val="auto"/>
                <w:sz w:val="24"/>
                <w:szCs w:val="24"/>
                <w:highlight w:val="none"/>
                <w:vertAlign w:val="baseline"/>
                <w:lang w:eastAsia="zh-CN"/>
              </w:rPr>
            </w:pPr>
            <w:r>
              <w:rPr>
                <w:rFonts w:hint="eastAsia" w:ascii="宋体" w:hAnsi="宋体" w:cs="宋体"/>
                <w:b w:val="0"/>
                <w:bCs w:val="0"/>
                <w:color w:val="auto"/>
                <w:sz w:val="24"/>
                <w:szCs w:val="24"/>
                <w:highlight w:val="none"/>
                <w:vertAlign w:val="baseline"/>
                <w:lang w:eastAsia="zh-CN"/>
              </w:rPr>
              <w:t>25km</w:t>
            </w:r>
          </w:p>
        </w:tc>
        <w:tc>
          <w:tcPr>
            <w:tcW w:w="2685" w:type="dxa"/>
          </w:tcPr>
          <w:p w14:paraId="0E18D540">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right="0" w:rightChars="0"/>
              <w:jc w:val="center"/>
              <w:textAlignment w:val="auto"/>
              <w:rPr>
                <w:rFonts w:hint="eastAsia" w:ascii="宋体" w:hAnsi="宋体" w:cs="宋体"/>
                <w:b w:val="0"/>
                <w:bCs w:val="0"/>
                <w:color w:val="auto"/>
                <w:sz w:val="24"/>
                <w:szCs w:val="24"/>
                <w:highlight w:val="none"/>
                <w:vertAlign w:val="baseline"/>
                <w:lang w:eastAsia="zh-CN"/>
              </w:rPr>
            </w:pPr>
            <w:r>
              <w:rPr>
                <w:rFonts w:hint="eastAsia" w:ascii="宋体" w:hAnsi="宋体" w:cs="宋体"/>
                <w:b w:val="0"/>
                <w:bCs w:val="0"/>
                <w:color w:val="auto"/>
                <w:sz w:val="24"/>
                <w:szCs w:val="24"/>
                <w:highlight w:val="none"/>
                <w:vertAlign w:val="baseline"/>
                <w:lang w:eastAsia="zh-CN"/>
              </w:rPr>
              <w:t>1.12元/吨/公里</w:t>
            </w:r>
          </w:p>
        </w:tc>
      </w:tr>
      <w:tr w14:paraId="4695AD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0" w:type="dxa"/>
            <w:gridSpan w:val="3"/>
          </w:tcPr>
          <w:p w14:paraId="5294E42A">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right="0" w:rightChars="0" w:firstLine="0" w:firstLineChars="0"/>
              <w:jc w:val="center"/>
              <w:textAlignment w:val="auto"/>
              <w:rPr>
                <w:rFonts w:hint="eastAsia" w:ascii="宋体" w:hAnsi="宋体" w:cs="宋体"/>
                <w:b w:val="0"/>
                <w:bCs w:val="0"/>
                <w:color w:val="auto"/>
                <w:sz w:val="24"/>
                <w:szCs w:val="24"/>
                <w:highlight w:val="none"/>
                <w:vertAlign w:val="baseline"/>
                <w:lang w:eastAsia="zh-CN"/>
              </w:rPr>
            </w:pPr>
            <w:r>
              <w:rPr>
                <w:rFonts w:hint="eastAsia" w:ascii="宋体" w:hAnsi="宋体" w:cs="宋体"/>
                <w:b w:val="0"/>
                <w:bCs w:val="0"/>
                <w:color w:val="auto"/>
                <w:sz w:val="24"/>
                <w:szCs w:val="24"/>
                <w:highlight w:val="none"/>
                <w:vertAlign w:val="baseline"/>
                <w:lang w:val="en-US" w:eastAsia="zh-CN"/>
              </w:rPr>
              <w:t>总价</w:t>
            </w:r>
          </w:p>
        </w:tc>
        <w:tc>
          <w:tcPr>
            <w:tcW w:w="2685" w:type="dxa"/>
          </w:tcPr>
          <w:p w14:paraId="48C1D8AA">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right="0" w:rightChars="0"/>
              <w:jc w:val="center"/>
              <w:textAlignment w:val="auto"/>
              <w:rPr>
                <w:rFonts w:hint="eastAsia" w:ascii="宋体" w:hAnsi="宋体" w:cs="宋体"/>
                <w:b w:val="0"/>
                <w:bCs w:val="0"/>
                <w:color w:val="auto"/>
                <w:sz w:val="24"/>
                <w:szCs w:val="24"/>
                <w:highlight w:val="none"/>
                <w:vertAlign w:val="baseline"/>
                <w:lang w:eastAsia="zh-CN"/>
              </w:rPr>
            </w:pPr>
            <w:r>
              <w:rPr>
                <w:rFonts w:hint="eastAsia" w:ascii="宋体" w:hAnsi="宋体" w:cs="宋体"/>
                <w:b w:val="0"/>
                <w:bCs w:val="0"/>
                <w:color w:val="auto"/>
                <w:sz w:val="24"/>
                <w:szCs w:val="24"/>
                <w:highlight w:val="none"/>
                <w:vertAlign w:val="baseline"/>
                <w:lang w:val="en-US" w:eastAsia="zh-CN"/>
              </w:rPr>
              <w:t>330030.20元</w:t>
            </w:r>
          </w:p>
        </w:tc>
      </w:tr>
    </w:tbl>
    <w:p w14:paraId="21152E28">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right="0" w:rightChars="0"/>
        <w:jc w:val="left"/>
        <w:textAlignment w:val="auto"/>
        <w:rPr>
          <w:rFonts w:hint="eastAsia" w:ascii="宋体" w:hAnsi="宋体" w:cs="宋体"/>
          <w:b/>
          <w:bCs/>
          <w:color w:val="auto"/>
          <w:sz w:val="24"/>
          <w:szCs w:val="24"/>
          <w:highlight w:val="none"/>
          <w:vertAlign w:val="baseline"/>
          <w:lang w:val="en-US" w:eastAsia="zh-CN"/>
        </w:rPr>
      </w:pPr>
      <w:r>
        <w:rPr>
          <w:rFonts w:hint="eastAsia" w:ascii="宋体" w:hAnsi="宋体" w:cs="宋体"/>
          <w:b/>
          <w:bCs/>
          <w:color w:val="auto"/>
          <w:sz w:val="24"/>
          <w:szCs w:val="24"/>
          <w:highlight w:val="none"/>
          <w:vertAlign w:val="baseline"/>
          <w:lang w:val="en-US" w:eastAsia="zh-CN"/>
        </w:rPr>
        <w:t xml:space="preserve">  </w:t>
      </w:r>
      <w:r>
        <w:rPr>
          <w:rFonts w:hint="eastAsia" w:ascii="宋体" w:hAnsi="宋体" w:cs="宋体"/>
          <w:b/>
          <w:bCs/>
          <w:color w:val="auto"/>
          <w:sz w:val="24"/>
          <w:szCs w:val="24"/>
          <w:highlight w:val="none"/>
          <w:vertAlign w:val="baseline"/>
          <w:lang w:eastAsia="zh-CN"/>
        </w:rPr>
        <w:t>注：①</w:t>
      </w:r>
      <w:r>
        <w:rPr>
          <w:rFonts w:hint="eastAsia" w:ascii="宋体" w:hAnsi="宋体" w:cs="宋体"/>
          <w:b/>
          <w:bCs/>
          <w:color w:val="auto"/>
          <w:sz w:val="24"/>
          <w:szCs w:val="24"/>
          <w:highlight w:val="none"/>
          <w:vertAlign w:val="baseline"/>
          <w:lang w:val="en-US" w:eastAsia="zh-CN"/>
        </w:rPr>
        <w:t>本项目需分项报价后汇总，分项报价及总报价均不得超过最高限价，否则为无效响应。</w:t>
      </w:r>
    </w:p>
    <w:p w14:paraId="110FFBCB">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right="0" w:rightChars="0" w:firstLine="486" w:firstLineChars="200"/>
        <w:jc w:val="left"/>
        <w:textAlignment w:val="auto"/>
        <w:rPr>
          <w:rFonts w:hint="eastAsia" w:ascii="宋体" w:hAnsi="宋体" w:cs="宋体"/>
          <w:b/>
          <w:bCs/>
          <w:color w:val="auto"/>
          <w:sz w:val="24"/>
          <w:szCs w:val="24"/>
          <w:highlight w:val="none"/>
          <w:vertAlign w:val="baseline"/>
          <w:lang w:val="en-US" w:eastAsia="zh-CN"/>
        </w:rPr>
      </w:pPr>
      <w:r>
        <w:rPr>
          <w:rFonts w:hint="eastAsia" w:ascii="宋体" w:hAnsi="宋体" w:eastAsia="宋体" w:cs="宋体"/>
          <w:b/>
          <w:bCs/>
          <w:color w:val="auto"/>
          <w:sz w:val="24"/>
          <w:szCs w:val="24"/>
          <w:highlight w:val="none"/>
          <w:vertAlign w:val="baseline"/>
          <w:lang w:val="en-US" w:eastAsia="zh-CN"/>
        </w:rPr>
        <w:t>②本项目为包干价，报价应包含</w:t>
      </w:r>
      <w:r>
        <w:rPr>
          <w:rFonts w:hint="eastAsia" w:ascii="宋体" w:hAnsi="宋体" w:cs="宋体"/>
          <w:b/>
          <w:bCs/>
          <w:color w:val="auto"/>
          <w:sz w:val="24"/>
          <w:szCs w:val="24"/>
          <w:highlight w:val="none"/>
          <w:vertAlign w:val="baseline"/>
          <w:lang w:val="en-US" w:eastAsia="zh-CN"/>
        </w:rPr>
        <w:t>所有附加费用，包括但不限于</w:t>
      </w:r>
      <w:r>
        <w:rPr>
          <w:rFonts w:hint="eastAsia" w:ascii="宋体" w:hAnsi="宋体" w:eastAsia="宋体" w:cs="宋体"/>
          <w:b/>
          <w:bCs/>
          <w:color w:val="auto"/>
          <w:sz w:val="24"/>
          <w:szCs w:val="24"/>
          <w:highlight w:val="none"/>
          <w:vertAlign w:val="baseline"/>
          <w:lang w:val="en-US" w:eastAsia="zh-CN"/>
        </w:rPr>
        <w:t>挖、装、运、税金</w:t>
      </w:r>
      <w:r>
        <w:rPr>
          <w:rFonts w:hint="eastAsia" w:ascii="宋体" w:hAnsi="宋体" w:cs="宋体"/>
          <w:b/>
          <w:bCs/>
          <w:color w:val="auto"/>
          <w:sz w:val="24"/>
          <w:szCs w:val="24"/>
          <w:highlight w:val="none"/>
          <w:vertAlign w:val="baseline"/>
          <w:lang w:val="en-US" w:eastAsia="zh-CN"/>
        </w:rPr>
        <w:t>、垃圾压缩站运输车的日常维护、保险费用及日常油费</w:t>
      </w:r>
      <w:r>
        <w:rPr>
          <w:rFonts w:hint="eastAsia" w:ascii="宋体" w:hAnsi="宋体" w:eastAsia="宋体" w:cs="宋体"/>
          <w:b/>
          <w:bCs/>
          <w:color w:val="auto"/>
          <w:sz w:val="24"/>
          <w:szCs w:val="24"/>
          <w:highlight w:val="none"/>
          <w:vertAlign w:val="baseline"/>
          <w:lang w:val="en-US" w:eastAsia="zh-CN"/>
        </w:rPr>
        <w:t>等为完成本项目服务可能发生的全部费用，供应商应考虑企业自身实力、经验及项目实施过程中的各种因素，根据采购需求合理报价，对于本文件中未列明，而供应商认为必需的费用也需列入总报价。在项目实施时，采购人将不予支付成交</w:t>
      </w:r>
      <w:r>
        <w:rPr>
          <w:rFonts w:hint="eastAsia" w:ascii="宋体" w:hAnsi="宋体" w:cs="宋体"/>
          <w:b/>
          <w:bCs/>
          <w:color w:val="auto"/>
          <w:sz w:val="24"/>
          <w:szCs w:val="24"/>
          <w:highlight w:val="none"/>
          <w:vertAlign w:val="baseline"/>
          <w:lang w:val="en-US" w:eastAsia="zh-CN"/>
        </w:rPr>
        <w:t>供应商</w:t>
      </w:r>
      <w:r>
        <w:rPr>
          <w:rFonts w:hint="eastAsia" w:ascii="宋体" w:hAnsi="宋体" w:eastAsia="宋体" w:cs="宋体"/>
          <w:b/>
          <w:bCs/>
          <w:color w:val="auto"/>
          <w:sz w:val="24"/>
          <w:szCs w:val="24"/>
          <w:highlight w:val="none"/>
          <w:vertAlign w:val="baseline"/>
          <w:lang w:val="en-US" w:eastAsia="zh-CN"/>
        </w:rPr>
        <w:t>没有列入的项目费用，并认为此项目的费用已包括在总报价中。</w:t>
      </w:r>
    </w:p>
    <w:p w14:paraId="47F78B84">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right="0" w:rightChars="0" w:firstLine="566" w:firstLineChars="200"/>
        <w:textAlignment w:val="auto"/>
        <w:rPr>
          <w:rFonts w:hint="eastAsia" w:ascii="宋体" w:hAnsi="宋体" w:eastAsia="宋体" w:cs="宋体"/>
          <w:b/>
          <w:bCs/>
          <w:color w:val="auto"/>
          <w:sz w:val="28"/>
          <w:szCs w:val="28"/>
          <w:highlight w:val="none"/>
          <w:lang w:eastAsia="zh-CN"/>
        </w:rPr>
      </w:pPr>
      <w:r>
        <w:rPr>
          <w:rFonts w:hint="eastAsia" w:ascii="宋体" w:hAnsi="宋体" w:cs="宋体"/>
          <w:b/>
          <w:bCs/>
          <w:color w:val="auto"/>
          <w:sz w:val="28"/>
          <w:szCs w:val="28"/>
          <w:highlight w:val="none"/>
          <w:lang w:eastAsia="zh-CN"/>
        </w:rPr>
        <w:t>三</w:t>
      </w:r>
      <w:r>
        <w:rPr>
          <w:rFonts w:hint="eastAsia" w:ascii="宋体" w:hAnsi="宋体" w:eastAsia="宋体" w:cs="宋体"/>
          <w:b/>
          <w:bCs/>
          <w:color w:val="auto"/>
          <w:sz w:val="28"/>
          <w:szCs w:val="28"/>
          <w:highlight w:val="none"/>
          <w:lang w:eastAsia="zh-CN"/>
        </w:rPr>
        <w:t>、商务要求</w:t>
      </w:r>
    </w:p>
    <w:p w14:paraId="31DDB766">
      <w:pPr>
        <w:keepNext w:val="0"/>
        <w:keepLines w:val="0"/>
        <w:pageBreakBefore w:val="0"/>
        <w:widowControl w:val="0"/>
        <w:kinsoku/>
        <w:wordWrap/>
        <w:overflowPunct/>
        <w:topLinePunct w:val="0"/>
        <w:autoSpaceDE/>
        <w:autoSpaceDN/>
        <w:bidi w:val="0"/>
        <w:adjustRightInd/>
        <w:snapToGrid/>
        <w:spacing w:line="440" w:lineRule="exact"/>
        <w:ind w:right="0" w:firstLine="566" w:firstLineChars="200"/>
        <w:textAlignment w:val="auto"/>
        <w:rPr>
          <w:rFonts w:hint="eastAsia" w:ascii="宋体" w:hAnsi="宋体" w:eastAsia="宋体" w:cs="宋体"/>
          <w:b/>
          <w:bCs/>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1.承包人企业有正规</w:t>
      </w:r>
      <w:r>
        <w:rPr>
          <w:rFonts w:hint="eastAsia" w:ascii="宋体" w:hAnsi="宋体" w:eastAsia="宋体" w:cs="宋体"/>
          <w:color w:val="auto"/>
          <w:sz w:val="28"/>
          <w:szCs w:val="28"/>
          <w:highlight w:val="none"/>
          <w:lang w:val="en-US" w:eastAsia="zh-CN"/>
        </w:rPr>
        <w:t>的经营办公场所、管理制度全面规范、人员设备配套齐全、作业管理经验丰富、目前正在履约服务的作业区域干净整洁。</w:t>
      </w:r>
      <w:r>
        <w:rPr>
          <w:rFonts w:hint="eastAsia" w:ascii="宋体" w:hAnsi="宋体" w:eastAsia="宋体" w:cs="宋体"/>
          <w:b/>
          <w:bCs/>
          <w:color w:val="auto"/>
          <w:sz w:val="28"/>
          <w:szCs w:val="28"/>
          <w:highlight w:val="none"/>
          <w:lang w:val="en-US" w:eastAsia="zh-CN"/>
        </w:rPr>
        <w:t>（提供相关证明材料复印件加盖供应商公章，并能反映上述内容）</w:t>
      </w:r>
    </w:p>
    <w:p w14:paraId="09575232">
      <w:pPr>
        <w:keepNext w:val="0"/>
        <w:keepLines w:val="0"/>
        <w:pageBreakBefore w:val="0"/>
        <w:widowControl w:val="0"/>
        <w:kinsoku/>
        <w:wordWrap/>
        <w:overflowPunct/>
        <w:topLinePunct w:val="0"/>
        <w:autoSpaceDE/>
        <w:autoSpaceDN/>
        <w:bidi w:val="0"/>
        <w:adjustRightInd/>
        <w:snapToGrid/>
        <w:spacing w:line="440" w:lineRule="exact"/>
        <w:ind w:right="0" w:firstLine="539" w:firstLineChars="191"/>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2.参加本项目活动前三年内，在经营活动中无重大违法记录、无员工劳务纠纷。</w:t>
      </w:r>
      <w:r>
        <w:rPr>
          <w:rFonts w:hint="eastAsia" w:ascii="宋体" w:hAnsi="宋体" w:eastAsia="宋体" w:cs="宋体"/>
          <w:b/>
          <w:bCs/>
          <w:color w:val="auto"/>
          <w:sz w:val="28"/>
          <w:szCs w:val="28"/>
          <w:highlight w:val="none"/>
          <w:lang w:val="en-US" w:eastAsia="zh-CN"/>
        </w:rPr>
        <w:t>（提供承诺书原件加盖供应商公章）</w:t>
      </w:r>
    </w:p>
    <w:p w14:paraId="6DB274EA">
      <w:pPr>
        <w:keepNext w:val="0"/>
        <w:keepLines w:val="0"/>
        <w:pageBreakBefore w:val="0"/>
        <w:widowControl w:val="0"/>
        <w:kinsoku/>
        <w:wordWrap/>
        <w:overflowPunct/>
        <w:topLinePunct w:val="0"/>
        <w:autoSpaceDE/>
        <w:autoSpaceDN/>
        <w:bidi w:val="0"/>
        <w:adjustRightInd/>
        <w:snapToGrid/>
        <w:spacing w:line="440" w:lineRule="exact"/>
        <w:ind w:right="0" w:firstLine="566" w:firstLineChars="200"/>
        <w:textAlignment w:val="auto"/>
        <w:rPr>
          <w:rFonts w:hint="default"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3.</w:t>
      </w:r>
      <w:r>
        <w:rPr>
          <w:rFonts w:hint="default" w:ascii="宋体" w:hAnsi="宋体" w:eastAsia="宋体" w:cs="宋体"/>
          <w:color w:val="auto"/>
          <w:sz w:val="28"/>
          <w:szCs w:val="28"/>
          <w:highlight w:val="none"/>
          <w:lang w:val="en-US" w:eastAsia="zh-CN"/>
        </w:rPr>
        <w:t>管理和作业人员配备、设备配置</w:t>
      </w:r>
      <w:r>
        <w:rPr>
          <w:rFonts w:hint="eastAsia" w:ascii="宋体" w:hAnsi="宋体" w:eastAsia="宋体" w:cs="宋体"/>
          <w:b/>
          <w:bCs/>
          <w:color w:val="auto"/>
          <w:sz w:val="28"/>
          <w:szCs w:val="28"/>
          <w:highlight w:val="none"/>
          <w:lang w:val="en-US" w:eastAsia="zh-CN"/>
        </w:rPr>
        <w:t>（提供承诺书原件加盖供应商公章）</w:t>
      </w:r>
      <w:r>
        <w:rPr>
          <w:rFonts w:hint="eastAsia" w:ascii="宋体" w:hAnsi="宋体" w:cs="宋体"/>
          <w:b/>
          <w:bCs/>
          <w:color w:val="auto"/>
          <w:sz w:val="28"/>
          <w:szCs w:val="28"/>
          <w:highlight w:val="none"/>
          <w:lang w:val="en-US" w:eastAsia="zh-CN"/>
        </w:rPr>
        <w:t>:</w:t>
      </w:r>
    </w:p>
    <w:p w14:paraId="47201AD4">
      <w:pPr>
        <w:keepNext w:val="0"/>
        <w:keepLines w:val="0"/>
        <w:pageBreakBefore w:val="0"/>
        <w:widowControl w:val="0"/>
        <w:kinsoku/>
        <w:wordWrap/>
        <w:overflowPunct/>
        <w:topLinePunct w:val="0"/>
        <w:autoSpaceDE/>
        <w:autoSpaceDN/>
        <w:bidi w:val="0"/>
        <w:adjustRightInd/>
        <w:snapToGrid/>
        <w:spacing w:line="440" w:lineRule="exact"/>
        <w:ind w:right="0" w:firstLine="539" w:firstLineChars="191"/>
        <w:textAlignment w:val="auto"/>
        <w:rPr>
          <w:rFonts w:hint="default" w:ascii="宋体" w:hAnsi="宋体" w:eastAsia="宋体" w:cs="宋体"/>
          <w:color w:val="auto"/>
          <w:sz w:val="28"/>
          <w:szCs w:val="28"/>
          <w:highlight w:val="none"/>
          <w:lang w:val="en-US" w:eastAsia="zh-CN"/>
        </w:rPr>
      </w:pPr>
      <w:r>
        <w:rPr>
          <w:rFonts w:hint="default" w:ascii="宋体" w:hAnsi="宋体" w:eastAsia="宋体" w:cs="宋体"/>
          <w:color w:val="auto"/>
          <w:sz w:val="28"/>
          <w:szCs w:val="28"/>
          <w:highlight w:val="none"/>
          <w:lang w:val="en-US" w:eastAsia="zh-CN"/>
        </w:rPr>
        <w:t>人员配备及设备配置须满足管理、作业需要，并符合</w:t>
      </w:r>
      <w:r>
        <w:rPr>
          <w:rFonts w:hint="eastAsia" w:ascii="宋体" w:hAnsi="宋体" w:eastAsia="宋体" w:cs="宋体"/>
          <w:color w:val="auto"/>
          <w:sz w:val="28"/>
          <w:szCs w:val="28"/>
          <w:highlight w:val="none"/>
          <w:lang w:val="en-US" w:eastAsia="zh-CN"/>
        </w:rPr>
        <w:t>磋商</w:t>
      </w:r>
      <w:r>
        <w:rPr>
          <w:rFonts w:hint="default" w:ascii="宋体" w:hAnsi="宋体" w:eastAsia="宋体" w:cs="宋体"/>
          <w:color w:val="auto"/>
          <w:sz w:val="28"/>
          <w:szCs w:val="28"/>
          <w:highlight w:val="none"/>
          <w:lang w:val="en-US" w:eastAsia="zh-CN"/>
        </w:rPr>
        <w:t>文件要求；</w:t>
      </w:r>
    </w:p>
    <w:p w14:paraId="3FBA1603">
      <w:pPr>
        <w:keepNext w:val="0"/>
        <w:keepLines w:val="0"/>
        <w:pageBreakBefore w:val="0"/>
        <w:widowControl w:val="0"/>
        <w:kinsoku/>
        <w:wordWrap/>
        <w:overflowPunct/>
        <w:topLinePunct w:val="0"/>
        <w:autoSpaceDE/>
        <w:autoSpaceDN/>
        <w:bidi w:val="0"/>
        <w:adjustRightInd/>
        <w:snapToGrid/>
        <w:spacing w:line="440" w:lineRule="exact"/>
        <w:ind w:right="0" w:firstLine="539" w:firstLineChars="191"/>
        <w:textAlignment w:val="auto"/>
        <w:rPr>
          <w:rFonts w:hint="default" w:ascii="宋体" w:hAnsi="宋体" w:eastAsia="宋体" w:cs="宋体"/>
          <w:color w:val="auto"/>
          <w:sz w:val="28"/>
          <w:szCs w:val="28"/>
          <w:highlight w:val="none"/>
          <w:lang w:val="en-US" w:eastAsia="zh-CN"/>
        </w:rPr>
      </w:pPr>
      <w:r>
        <w:rPr>
          <w:rFonts w:hint="eastAsia" w:ascii="宋体" w:hAnsi="宋体" w:cs="宋体"/>
          <w:color w:val="auto"/>
          <w:sz w:val="28"/>
          <w:szCs w:val="28"/>
          <w:highlight w:val="none"/>
          <w:lang w:val="en-US" w:eastAsia="zh-CN"/>
        </w:rPr>
        <w:t>（1）</w:t>
      </w:r>
      <w:r>
        <w:rPr>
          <w:rFonts w:hint="default" w:ascii="宋体" w:hAnsi="宋体" w:eastAsia="宋体" w:cs="宋体"/>
          <w:color w:val="auto"/>
          <w:sz w:val="28"/>
          <w:szCs w:val="28"/>
          <w:highlight w:val="none"/>
          <w:lang w:val="en-US" w:eastAsia="zh-CN"/>
        </w:rPr>
        <w:t>最低人员配备：清运</w:t>
      </w:r>
      <w:r>
        <w:rPr>
          <w:rFonts w:hint="eastAsia" w:ascii="宋体" w:hAnsi="宋体" w:eastAsia="宋体" w:cs="宋体"/>
          <w:color w:val="auto"/>
          <w:sz w:val="28"/>
          <w:szCs w:val="28"/>
          <w:highlight w:val="none"/>
          <w:lang w:val="en-US" w:eastAsia="zh-CN"/>
        </w:rPr>
        <w:t>人员</w:t>
      </w:r>
      <w:r>
        <w:rPr>
          <w:rFonts w:hint="default" w:ascii="宋体" w:hAnsi="宋体" w:eastAsia="宋体" w:cs="宋体"/>
          <w:color w:val="auto"/>
          <w:sz w:val="28"/>
          <w:szCs w:val="28"/>
          <w:highlight w:val="none"/>
          <w:lang w:val="en-US" w:eastAsia="zh-CN"/>
        </w:rPr>
        <w:t>不低于</w:t>
      </w:r>
      <w:r>
        <w:rPr>
          <w:rFonts w:hint="eastAsia" w:ascii="宋体" w:hAnsi="宋体" w:eastAsia="宋体" w:cs="宋体"/>
          <w:color w:val="auto"/>
          <w:sz w:val="28"/>
          <w:szCs w:val="28"/>
          <w:highlight w:val="none"/>
          <w:lang w:val="en-US" w:eastAsia="zh-CN"/>
        </w:rPr>
        <w:t>2</w:t>
      </w:r>
      <w:r>
        <w:rPr>
          <w:rFonts w:hint="default" w:ascii="宋体" w:hAnsi="宋体" w:eastAsia="宋体" w:cs="宋体"/>
          <w:color w:val="auto"/>
          <w:sz w:val="28"/>
          <w:szCs w:val="28"/>
          <w:highlight w:val="none"/>
          <w:lang w:val="en-US" w:eastAsia="zh-CN"/>
        </w:rPr>
        <w:t>人，管理人员</w:t>
      </w:r>
      <w:r>
        <w:rPr>
          <w:rFonts w:hint="eastAsia" w:ascii="宋体" w:hAnsi="宋体" w:eastAsia="宋体" w:cs="宋体"/>
          <w:color w:val="auto"/>
          <w:sz w:val="28"/>
          <w:szCs w:val="28"/>
          <w:highlight w:val="none"/>
          <w:lang w:val="en-US" w:eastAsia="zh-CN"/>
        </w:rPr>
        <w:t>不低于</w:t>
      </w:r>
      <w:r>
        <w:rPr>
          <w:rFonts w:hint="default" w:ascii="宋体" w:hAnsi="宋体" w:eastAsia="宋体" w:cs="宋体"/>
          <w:color w:val="auto"/>
          <w:sz w:val="28"/>
          <w:szCs w:val="28"/>
          <w:highlight w:val="none"/>
          <w:lang w:val="en-US" w:eastAsia="zh-CN"/>
        </w:rPr>
        <w:t>1人。并承诺</w:t>
      </w:r>
      <w:r>
        <w:rPr>
          <w:rFonts w:hint="eastAsia" w:ascii="宋体" w:hAnsi="宋体" w:eastAsia="宋体" w:cs="宋体"/>
          <w:color w:val="auto"/>
          <w:sz w:val="28"/>
          <w:szCs w:val="28"/>
          <w:highlight w:val="none"/>
          <w:lang w:val="en-US" w:eastAsia="zh-CN"/>
        </w:rPr>
        <w:t>成为成交供应商</w:t>
      </w:r>
      <w:r>
        <w:rPr>
          <w:rFonts w:hint="default" w:ascii="宋体" w:hAnsi="宋体" w:eastAsia="宋体" w:cs="宋体"/>
          <w:color w:val="auto"/>
          <w:sz w:val="28"/>
          <w:szCs w:val="28"/>
          <w:highlight w:val="none"/>
          <w:lang w:val="en-US" w:eastAsia="zh-CN"/>
        </w:rPr>
        <w:t>后跟作业人员购买意外伤害保险。</w:t>
      </w:r>
    </w:p>
    <w:p w14:paraId="2AF2156B">
      <w:pPr>
        <w:keepNext w:val="0"/>
        <w:keepLines w:val="0"/>
        <w:pageBreakBefore w:val="0"/>
        <w:widowControl w:val="0"/>
        <w:kinsoku/>
        <w:wordWrap/>
        <w:overflowPunct/>
        <w:topLinePunct w:val="0"/>
        <w:autoSpaceDE/>
        <w:autoSpaceDN/>
        <w:bidi w:val="0"/>
        <w:adjustRightInd/>
        <w:snapToGrid/>
        <w:spacing w:line="440" w:lineRule="exact"/>
        <w:ind w:right="0" w:firstLine="539" w:firstLineChars="191"/>
        <w:textAlignment w:val="auto"/>
        <w:rPr>
          <w:rFonts w:hint="eastAsia" w:ascii="宋体" w:hAnsi="宋体" w:eastAsia="宋体" w:cs="宋体"/>
          <w:color w:val="FF0000"/>
          <w:kern w:val="0"/>
          <w:sz w:val="24"/>
          <w:szCs w:val="24"/>
          <w:highlight w:val="none"/>
          <w:lang w:eastAsia="zh-CN"/>
        </w:rPr>
      </w:pPr>
      <w:r>
        <w:rPr>
          <w:rFonts w:hint="eastAsia" w:ascii="宋体" w:hAnsi="宋体" w:cs="宋体"/>
          <w:color w:val="auto"/>
          <w:sz w:val="28"/>
          <w:szCs w:val="28"/>
          <w:highlight w:val="none"/>
          <w:lang w:val="en-US" w:eastAsia="zh-CN"/>
        </w:rPr>
        <w:t>（2）</w:t>
      </w:r>
      <w:r>
        <w:rPr>
          <w:rFonts w:hint="default" w:ascii="宋体" w:hAnsi="宋体" w:eastAsia="宋体" w:cs="宋体"/>
          <w:color w:val="auto"/>
          <w:sz w:val="28"/>
          <w:szCs w:val="28"/>
          <w:highlight w:val="none"/>
          <w:lang w:val="en-US" w:eastAsia="zh-CN"/>
        </w:rPr>
        <w:t>最低设备配置：</w:t>
      </w:r>
      <w:r>
        <w:rPr>
          <w:rFonts w:hint="eastAsia" w:ascii="宋体" w:hAnsi="宋体" w:eastAsia="宋体" w:cs="宋体"/>
          <w:color w:val="auto"/>
          <w:sz w:val="28"/>
          <w:szCs w:val="28"/>
          <w:highlight w:val="none"/>
          <w:lang w:val="en-US" w:eastAsia="zh-CN"/>
        </w:rPr>
        <w:t>密闭式</w:t>
      </w:r>
      <w:r>
        <w:rPr>
          <w:rFonts w:hint="default" w:ascii="宋体" w:hAnsi="宋体" w:eastAsia="宋体" w:cs="宋体"/>
          <w:color w:val="auto"/>
          <w:sz w:val="28"/>
          <w:szCs w:val="28"/>
          <w:highlight w:val="none"/>
          <w:lang w:val="en-US" w:eastAsia="zh-CN"/>
        </w:rPr>
        <w:t>垃圾</w:t>
      </w:r>
      <w:r>
        <w:rPr>
          <w:rFonts w:hint="eastAsia" w:ascii="宋体" w:hAnsi="宋体" w:eastAsia="宋体" w:cs="宋体"/>
          <w:color w:val="auto"/>
          <w:sz w:val="28"/>
          <w:szCs w:val="28"/>
          <w:highlight w:val="none"/>
          <w:lang w:val="en-US" w:eastAsia="zh-CN"/>
        </w:rPr>
        <w:t>运输</w:t>
      </w:r>
      <w:r>
        <w:rPr>
          <w:rFonts w:hint="default" w:ascii="宋体" w:hAnsi="宋体" w:eastAsia="宋体" w:cs="宋体"/>
          <w:color w:val="auto"/>
          <w:sz w:val="28"/>
          <w:szCs w:val="28"/>
          <w:highlight w:val="none"/>
          <w:lang w:val="en-US" w:eastAsia="zh-CN"/>
        </w:rPr>
        <w:t>车</w:t>
      </w:r>
      <w:r>
        <w:rPr>
          <w:rFonts w:hint="eastAsia" w:ascii="宋体" w:hAnsi="宋体" w:eastAsia="宋体" w:cs="宋体"/>
          <w:color w:val="auto"/>
          <w:sz w:val="28"/>
          <w:szCs w:val="28"/>
          <w:highlight w:val="none"/>
          <w:lang w:val="en-US" w:eastAsia="zh-CN"/>
        </w:rPr>
        <w:t>2</w:t>
      </w:r>
      <w:r>
        <w:rPr>
          <w:rFonts w:hint="default" w:ascii="宋体" w:hAnsi="宋体" w:eastAsia="宋体" w:cs="宋体"/>
          <w:color w:val="auto"/>
          <w:sz w:val="28"/>
          <w:szCs w:val="28"/>
          <w:highlight w:val="none"/>
          <w:lang w:val="en-US" w:eastAsia="zh-CN"/>
        </w:rPr>
        <w:t>辆</w:t>
      </w:r>
      <w:r>
        <w:rPr>
          <w:rFonts w:hint="eastAsia" w:ascii="宋体" w:hAnsi="宋体" w:eastAsia="宋体" w:cs="宋体"/>
          <w:color w:val="auto"/>
          <w:sz w:val="28"/>
          <w:szCs w:val="28"/>
          <w:highlight w:val="none"/>
          <w:lang w:val="en-US" w:eastAsia="zh-CN"/>
        </w:rPr>
        <w:t>。（自有车辆：提供车辆行驶证、车辆照片及车辆全额保险（必须含交强险、第三者责任险）单复印件加盖公章；租赁车辆：提供租赁合同、车辆行驶证、车辆照片、保险单等复印件加盖公章）</w:t>
      </w:r>
    </w:p>
    <w:p w14:paraId="5A3C688B">
      <w:pPr>
        <w:keepNext w:val="0"/>
        <w:keepLines w:val="0"/>
        <w:pageBreakBefore w:val="0"/>
        <w:widowControl w:val="0"/>
        <w:kinsoku/>
        <w:wordWrap/>
        <w:overflowPunct/>
        <w:topLinePunct w:val="0"/>
        <w:autoSpaceDE/>
        <w:autoSpaceDN/>
        <w:bidi w:val="0"/>
        <w:adjustRightInd/>
        <w:snapToGrid/>
        <w:spacing w:line="440" w:lineRule="exact"/>
        <w:ind w:right="0" w:firstLine="566" w:firstLineChars="200"/>
        <w:textAlignment w:val="auto"/>
        <w:rPr>
          <w:rFonts w:hint="default" w:ascii="宋体" w:hAnsi="宋体" w:eastAsia="宋体" w:cs="宋体"/>
          <w:color w:val="auto"/>
          <w:sz w:val="28"/>
          <w:szCs w:val="28"/>
          <w:highlight w:val="none"/>
          <w:lang w:val="en-US" w:eastAsia="zh-CN"/>
        </w:rPr>
      </w:pPr>
      <w:r>
        <w:rPr>
          <w:rFonts w:hint="eastAsia" w:ascii="宋体" w:hAnsi="宋体" w:cs="宋体"/>
          <w:color w:val="auto"/>
          <w:sz w:val="28"/>
          <w:szCs w:val="28"/>
          <w:highlight w:val="none"/>
          <w:lang w:val="en-US" w:eastAsia="zh-CN"/>
        </w:rPr>
        <w:t>4</w:t>
      </w:r>
      <w:r>
        <w:rPr>
          <w:rFonts w:hint="eastAsia" w:ascii="宋体" w:hAnsi="宋体" w:eastAsia="宋体" w:cs="宋体"/>
          <w:color w:val="auto"/>
          <w:sz w:val="28"/>
          <w:szCs w:val="28"/>
          <w:highlight w:val="none"/>
          <w:lang w:val="en-US" w:eastAsia="zh-CN"/>
        </w:rPr>
        <w:t>.</w:t>
      </w:r>
      <w:r>
        <w:rPr>
          <w:rFonts w:hint="default" w:ascii="宋体" w:hAnsi="宋体" w:eastAsia="宋体" w:cs="宋体"/>
          <w:color w:val="auto"/>
          <w:sz w:val="28"/>
          <w:szCs w:val="28"/>
          <w:highlight w:val="none"/>
          <w:lang w:val="en-US" w:eastAsia="zh-CN"/>
        </w:rPr>
        <w:t>其它要求</w:t>
      </w:r>
      <w:r>
        <w:rPr>
          <w:rFonts w:hint="eastAsia" w:ascii="宋体" w:hAnsi="宋体" w:eastAsia="宋体" w:cs="宋体"/>
          <w:b/>
          <w:bCs/>
          <w:color w:val="auto"/>
          <w:sz w:val="28"/>
          <w:szCs w:val="28"/>
          <w:highlight w:val="none"/>
          <w:lang w:val="en-US" w:eastAsia="zh-CN"/>
        </w:rPr>
        <w:t>（提供承诺书原件加盖供应商公章）</w:t>
      </w:r>
    </w:p>
    <w:p w14:paraId="6C9A1EB3">
      <w:pPr>
        <w:keepNext w:val="0"/>
        <w:keepLines w:val="0"/>
        <w:pageBreakBefore w:val="0"/>
        <w:widowControl w:val="0"/>
        <w:kinsoku/>
        <w:wordWrap/>
        <w:overflowPunct/>
        <w:topLinePunct w:val="0"/>
        <w:autoSpaceDE/>
        <w:autoSpaceDN/>
        <w:bidi w:val="0"/>
        <w:adjustRightInd/>
        <w:snapToGrid/>
        <w:spacing w:line="440" w:lineRule="exact"/>
        <w:ind w:right="0" w:firstLine="539" w:firstLineChars="191"/>
        <w:textAlignment w:val="auto"/>
        <w:rPr>
          <w:rFonts w:hint="default" w:ascii="宋体" w:hAnsi="宋体" w:eastAsia="宋体" w:cs="宋体"/>
          <w:color w:val="auto"/>
          <w:sz w:val="28"/>
          <w:szCs w:val="28"/>
          <w:highlight w:val="none"/>
          <w:lang w:val="en-US" w:eastAsia="zh-CN"/>
        </w:rPr>
      </w:pPr>
      <w:r>
        <w:rPr>
          <w:rFonts w:hint="default" w:ascii="宋体" w:hAnsi="宋体" w:eastAsia="宋体" w:cs="宋体"/>
          <w:color w:val="auto"/>
          <w:sz w:val="28"/>
          <w:szCs w:val="28"/>
          <w:highlight w:val="none"/>
          <w:lang w:val="en-US" w:eastAsia="zh-CN"/>
        </w:rPr>
        <w:t>（1）所有作业人员必须按照标准要求配发劳保用品。</w:t>
      </w:r>
    </w:p>
    <w:p w14:paraId="70A7D2E7">
      <w:pPr>
        <w:keepNext w:val="0"/>
        <w:keepLines w:val="0"/>
        <w:pageBreakBefore w:val="0"/>
        <w:widowControl w:val="0"/>
        <w:kinsoku/>
        <w:wordWrap/>
        <w:overflowPunct/>
        <w:topLinePunct w:val="0"/>
        <w:autoSpaceDE/>
        <w:autoSpaceDN/>
        <w:bidi w:val="0"/>
        <w:adjustRightInd/>
        <w:snapToGrid/>
        <w:spacing w:line="440" w:lineRule="exact"/>
        <w:ind w:right="0" w:firstLine="539" w:firstLineChars="191"/>
        <w:textAlignment w:val="auto"/>
        <w:rPr>
          <w:rFonts w:hint="default" w:ascii="宋体" w:hAnsi="宋体" w:eastAsia="宋体" w:cs="宋体"/>
          <w:color w:val="auto"/>
          <w:sz w:val="28"/>
          <w:szCs w:val="28"/>
          <w:highlight w:val="none"/>
          <w:lang w:val="en-US" w:eastAsia="zh-CN"/>
        </w:rPr>
      </w:pPr>
      <w:r>
        <w:rPr>
          <w:rFonts w:hint="default" w:ascii="宋体" w:hAnsi="宋体" w:eastAsia="宋体" w:cs="宋体"/>
          <w:color w:val="auto"/>
          <w:sz w:val="28"/>
          <w:szCs w:val="28"/>
          <w:highlight w:val="none"/>
          <w:lang w:val="en-US" w:eastAsia="zh-CN"/>
        </w:rPr>
        <w:t>（2）所有作业人员的作业工具必须由</w:t>
      </w:r>
      <w:r>
        <w:rPr>
          <w:rFonts w:hint="eastAsia" w:ascii="宋体" w:hAnsi="宋体" w:eastAsia="宋体" w:cs="宋体"/>
          <w:color w:val="auto"/>
          <w:sz w:val="28"/>
          <w:szCs w:val="28"/>
          <w:highlight w:val="none"/>
          <w:lang w:val="en-US" w:eastAsia="zh-CN"/>
        </w:rPr>
        <w:t>成交供应商</w:t>
      </w:r>
      <w:r>
        <w:rPr>
          <w:rFonts w:hint="default" w:ascii="宋体" w:hAnsi="宋体" w:eastAsia="宋体" w:cs="宋体"/>
          <w:color w:val="auto"/>
          <w:sz w:val="28"/>
          <w:szCs w:val="28"/>
          <w:highlight w:val="none"/>
          <w:lang w:val="en-US" w:eastAsia="zh-CN"/>
        </w:rPr>
        <w:t>统一配发。</w:t>
      </w:r>
    </w:p>
    <w:p w14:paraId="199F4980">
      <w:pPr>
        <w:keepNext w:val="0"/>
        <w:keepLines w:val="0"/>
        <w:pageBreakBefore w:val="0"/>
        <w:widowControl w:val="0"/>
        <w:kinsoku/>
        <w:wordWrap/>
        <w:overflowPunct/>
        <w:topLinePunct w:val="0"/>
        <w:autoSpaceDE/>
        <w:autoSpaceDN/>
        <w:bidi w:val="0"/>
        <w:adjustRightInd/>
        <w:snapToGrid/>
        <w:spacing w:line="440" w:lineRule="exact"/>
        <w:ind w:right="0" w:firstLine="539" w:firstLineChars="191"/>
        <w:textAlignment w:val="auto"/>
        <w:rPr>
          <w:rFonts w:hint="default" w:ascii="宋体" w:hAnsi="宋体" w:eastAsia="宋体" w:cs="宋体"/>
          <w:color w:val="auto"/>
          <w:sz w:val="28"/>
          <w:szCs w:val="28"/>
          <w:highlight w:val="none"/>
          <w:lang w:val="en-US" w:eastAsia="zh-CN"/>
        </w:rPr>
      </w:pPr>
      <w:r>
        <w:rPr>
          <w:rFonts w:hint="default" w:ascii="宋体" w:hAnsi="宋体" w:eastAsia="宋体" w:cs="宋体"/>
          <w:color w:val="auto"/>
          <w:sz w:val="28"/>
          <w:szCs w:val="28"/>
          <w:highlight w:val="none"/>
          <w:lang w:val="en-US" w:eastAsia="zh-CN"/>
        </w:rPr>
        <w:t>（3）成交供应商须建立安全生产、重要活动环卫保障、应急抢险等管理体系。</w:t>
      </w:r>
    </w:p>
    <w:p w14:paraId="76D5F561">
      <w:pPr>
        <w:keepNext w:val="0"/>
        <w:keepLines w:val="0"/>
        <w:pageBreakBefore w:val="0"/>
        <w:widowControl w:val="0"/>
        <w:kinsoku/>
        <w:wordWrap/>
        <w:overflowPunct/>
        <w:topLinePunct w:val="0"/>
        <w:autoSpaceDE/>
        <w:autoSpaceDN/>
        <w:bidi w:val="0"/>
        <w:adjustRightInd/>
        <w:snapToGrid/>
        <w:spacing w:line="440" w:lineRule="exact"/>
        <w:ind w:right="0" w:firstLine="539" w:firstLineChars="191"/>
        <w:textAlignment w:val="auto"/>
        <w:rPr>
          <w:rFonts w:hint="default" w:ascii="宋体" w:hAnsi="宋体" w:eastAsia="宋体" w:cs="宋体"/>
          <w:color w:val="auto"/>
          <w:sz w:val="28"/>
          <w:szCs w:val="28"/>
          <w:highlight w:val="none"/>
          <w:lang w:val="en-US" w:eastAsia="zh-CN"/>
        </w:rPr>
      </w:pPr>
      <w:r>
        <w:rPr>
          <w:rFonts w:hint="default" w:ascii="宋体" w:hAnsi="宋体" w:eastAsia="宋体" w:cs="宋体"/>
          <w:color w:val="auto"/>
          <w:sz w:val="28"/>
          <w:szCs w:val="28"/>
          <w:highlight w:val="none"/>
          <w:lang w:val="en-US" w:eastAsia="zh-CN"/>
        </w:rPr>
        <w:t>（4）成交供应商须保存好日常作业痕迹，按采购方的要求填报月生产报表和其他材料。</w:t>
      </w:r>
    </w:p>
    <w:p w14:paraId="2E917863">
      <w:pPr>
        <w:ind w:firstLine="566" w:firstLineChars="200"/>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四、作业质量考核及费用拨化</w:t>
      </w:r>
    </w:p>
    <w:p w14:paraId="364EB8C3">
      <w:pPr>
        <w:keepNext w:val="0"/>
        <w:keepLines w:val="0"/>
        <w:pageBreakBefore w:val="0"/>
        <w:widowControl w:val="0"/>
        <w:kinsoku/>
        <w:wordWrap/>
        <w:overflowPunct/>
        <w:topLinePunct w:val="0"/>
        <w:autoSpaceDE/>
        <w:autoSpaceDN/>
        <w:bidi w:val="0"/>
        <w:adjustRightInd/>
        <w:snapToGrid/>
        <w:spacing w:line="440" w:lineRule="exact"/>
        <w:ind w:right="0" w:firstLine="539" w:firstLineChars="191"/>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由采购人参照枝江市安福寺镇·工业园综合执法中心制定《安福寺镇环卫作业质量考核办法》，结合枝江市城乡综合管理考核，采取定期检查和不定期抽样、日常巡视检查及群众满意度调查的方式对相关作业进行考核，根据考核结果兑付作业费用，承包方凭开具的税务发票一月一结算。</w:t>
      </w:r>
    </w:p>
    <w:p w14:paraId="184F7A89">
      <w:pPr>
        <w:rPr>
          <w:rFonts w:hint="eastAsia"/>
          <w:highlight w:val="none"/>
        </w:rPr>
      </w:pPr>
    </w:p>
    <w:p w14:paraId="1D2808C9">
      <w:pPr>
        <w:pStyle w:val="5"/>
        <w:rPr>
          <w:rFonts w:hint="eastAsia"/>
          <w:highlight w:val="none"/>
        </w:rPr>
      </w:pPr>
    </w:p>
    <w:p w14:paraId="0B4442D4">
      <w:pPr>
        <w:pStyle w:val="2"/>
        <w:jc w:val="center"/>
        <w:rPr>
          <w:rFonts w:hint="eastAsia" w:ascii="宋体" w:hAnsi="宋体" w:eastAsia="宋体" w:cs="宋体"/>
          <w:color w:val="auto"/>
          <w:kern w:val="0"/>
          <w:highlight w:val="none"/>
        </w:rPr>
        <w:sectPr>
          <w:pgSz w:w="11906" w:h="16838"/>
          <w:pgMar w:top="1134" w:right="1134" w:bottom="1134" w:left="1134" w:header="851" w:footer="992" w:gutter="0"/>
          <w:cols w:space="720" w:num="1"/>
          <w:titlePg/>
          <w:docGrid w:type="linesAndChars" w:linePitch="312" w:charSpace="735"/>
        </w:sectPr>
      </w:pPr>
      <w:bookmarkStart w:id="86" w:name="_Toc9849"/>
    </w:p>
    <w:p w14:paraId="7DFB3D6F">
      <w:pPr>
        <w:pStyle w:val="2"/>
        <w:jc w:val="center"/>
        <w:rPr>
          <w:rFonts w:hint="eastAsia" w:ascii="宋体" w:hAnsi="宋体" w:cs="宋体"/>
          <w:color w:val="auto"/>
          <w:sz w:val="28"/>
          <w:szCs w:val="28"/>
          <w:highlight w:val="none"/>
        </w:rPr>
      </w:pPr>
      <w:bookmarkStart w:id="87" w:name="_Toc21974"/>
      <w:r>
        <w:rPr>
          <w:rFonts w:hint="eastAsia" w:ascii="宋体" w:hAnsi="宋体" w:eastAsia="宋体" w:cs="宋体"/>
          <w:color w:val="auto"/>
          <w:kern w:val="0"/>
          <w:highlight w:val="none"/>
        </w:rPr>
        <w:t>第四章  合同（中标后与业主另行签订）</w:t>
      </w:r>
      <w:bookmarkEnd w:id="85"/>
      <w:bookmarkEnd w:id="86"/>
      <w:bookmarkEnd w:id="87"/>
    </w:p>
    <w:p w14:paraId="5540872F">
      <w:pPr>
        <w:pStyle w:val="2"/>
        <w:spacing w:line="400" w:lineRule="exact"/>
        <w:outlineLvl w:val="9"/>
        <w:rPr>
          <w:rFonts w:hint="eastAsia" w:ascii="宋体" w:hAnsi="宋体" w:eastAsia="宋体" w:cs="宋体"/>
          <w:color w:val="auto"/>
          <w:highlight w:val="none"/>
        </w:rPr>
      </w:pPr>
      <w:bookmarkStart w:id="88" w:name="_Toc9855"/>
    </w:p>
    <w:p w14:paraId="268AA96B">
      <w:pPr>
        <w:bidi w:val="0"/>
        <w:rPr>
          <w:rFonts w:hint="eastAsia"/>
          <w:color w:val="auto"/>
          <w:highlight w:val="none"/>
        </w:rPr>
      </w:pPr>
      <w:bookmarkStart w:id="89" w:name="_Toc23418"/>
    </w:p>
    <w:p w14:paraId="35AC0619">
      <w:pPr>
        <w:bidi w:val="0"/>
        <w:rPr>
          <w:rFonts w:hint="eastAsia"/>
          <w:color w:val="auto"/>
          <w:highlight w:val="none"/>
        </w:rPr>
      </w:pPr>
    </w:p>
    <w:p w14:paraId="7D6F254C">
      <w:pPr>
        <w:bidi w:val="0"/>
        <w:rPr>
          <w:rFonts w:hint="eastAsia"/>
          <w:color w:val="auto"/>
          <w:highlight w:val="none"/>
        </w:rPr>
      </w:pPr>
    </w:p>
    <w:p w14:paraId="581021AA">
      <w:pPr>
        <w:bidi w:val="0"/>
        <w:rPr>
          <w:rFonts w:hint="eastAsia"/>
          <w:color w:val="auto"/>
          <w:highlight w:val="none"/>
        </w:rPr>
      </w:pPr>
    </w:p>
    <w:p w14:paraId="660486AC">
      <w:pPr>
        <w:bidi w:val="0"/>
        <w:rPr>
          <w:rFonts w:hint="eastAsia"/>
          <w:color w:val="auto"/>
          <w:highlight w:val="none"/>
        </w:rPr>
      </w:pPr>
    </w:p>
    <w:p w14:paraId="4E37CF43">
      <w:pPr>
        <w:bidi w:val="0"/>
        <w:rPr>
          <w:rFonts w:hint="eastAsia"/>
          <w:color w:val="auto"/>
          <w:highlight w:val="none"/>
        </w:rPr>
      </w:pPr>
    </w:p>
    <w:p w14:paraId="09CFAC2C">
      <w:pPr>
        <w:bidi w:val="0"/>
        <w:rPr>
          <w:rFonts w:hint="eastAsia"/>
          <w:color w:val="auto"/>
          <w:highlight w:val="none"/>
        </w:rPr>
      </w:pPr>
    </w:p>
    <w:p w14:paraId="00545B12">
      <w:pPr>
        <w:bidi w:val="0"/>
        <w:rPr>
          <w:rFonts w:hint="eastAsia"/>
          <w:color w:val="auto"/>
          <w:highlight w:val="none"/>
        </w:rPr>
      </w:pPr>
    </w:p>
    <w:p w14:paraId="650ED305">
      <w:pPr>
        <w:bidi w:val="0"/>
        <w:rPr>
          <w:rFonts w:hint="eastAsia"/>
          <w:color w:val="auto"/>
          <w:highlight w:val="none"/>
        </w:rPr>
      </w:pPr>
    </w:p>
    <w:p w14:paraId="51D35A23">
      <w:pPr>
        <w:bidi w:val="0"/>
        <w:rPr>
          <w:rFonts w:hint="eastAsia"/>
          <w:color w:val="auto"/>
          <w:highlight w:val="none"/>
        </w:rPr>
      </w:pPr>
    </w:p>
    <w:p w14:paraId="2A22B398">
      <w:pPr>
        <w:bidi w:val="0"/>
        <w:rPr>
          <w:rFonts w:hint="eastAsia"/>
          <w:color w:val="auto"/>
          <w:highlight w:val="none"/>
        </w:rPr>
      </w:pPr>
    </w:p>
    <w:p w14:paraId="434A4649">
      <w:pPr>
        <w:bidi w:val="0"/>
        <w:rPr>
          <w:rFonts w:hint="eastAsia"/>
          <w:color w:val="auto"/>
          <w:highlight w:val="none"/>
        </w:rPr>
      </w:pPr>
    </w:p>
    <w:p w14:paraId="30BBA92F">
      <w:pPr>
        <w:bidi w:val="0"/>
        <w:rPr>
          <w:rFonts w:hint="eastAsia"/>
          <w:color w:val="auto"/>
          <w:highlight w:val="none"/>
        </w:rPr>
      </w:pPr>
    </w:p>
    <w:p w14:paraId="017C11C6">
      <w:pPr>
        <w:bidi w:val="0"/>
        <w:rPr>
          <w:rFonts w:hint="eastAsia"/>
          <w:color w:val="auto"/>
          <w:highlight w:val="none"/>
        </w:rPr>
      </w:pPr>
    </w:p>
    <w:p w14:paraId="62EB35A6">
      <w:pPr>
        <w:bidi w:val="0"/>
        <w:rPr>
          <w:rFonts w:hint="eastAsia"/>
          <w:color w:val="auto"/>
          <w:highlight w:val="none"/>
        </w:rPr>
      </w:pPr>
    </w:p>
    <w:p w14:paraId="38B504DE">
      <w:pPr>
        <w:bidi w:val="0"/>
        <w:rPr>
          <w:rFonts w:hint="eastAsia"/>
          <w:color w:val="auto"/>
          <w:highlight w:val="none"/>
        </w:rPr>
      </w:pPr>
    </w:p>
    <w:p w14:paraId="613D2817">
      <w:pPr>
        <w:bidi w:val="0"/>
        <w:rPr>
          <w:rFonts w:hint="eastAsia"/>
          <w:color w:val="auto"/>
          <w:highlight w:val="none"/>
        </w:rPr>
      </w:pPr>
    </w:p>
    <w:p w14:paraId="3C917D9D">
      <w:pPr>
        <w:bidi w:val="0"/>
        <w:rPr>
          <w:rFonts w:hint="eastAsia"/>
          <w:color w:val="auto"/>
          <w:highlight w:val="none"/>
        </w:rPr>
      </w:pPr>
    </w:p>
    <w:p w14:paraId="2A0093BF">
      <w:pPr>
        <w:bidi w:val="0"/>
        <w:rPr>
          <w:rFonts w:hint="eastAsia"/>
          <w:color w:val="auto"/>
          <w:highlight w:val="none"/>
        </w:rPr>
      </w:pPr>
    </w:p>
    <w:p w14:paraId="1767D983">
      <w:pPr>
        <w:bidi w:val="0"/>
        <w:rPr>
          <w:rFonts w:hint="eastAsia"/>
          <w:color w:val="auto"/>
          <w:highlight w:val="none"/>
        </w:rPr>
      </w:pPr>
    </w:p>
    <w:p w14:paraId="30B85CA1">
      <w:pPr>
        <w:bidi w:val="0"/>
        <w:rPr>
          <w:rFonts w:hint="eastAsia"/>
          <w:color w:val="auto"/>
          <w:highlight w:val="none"/>
        </w:rPr>
      </w:pPr>
    </w:p>
    <w:p w14:paraId="10E4AB38">
      <w:pPr>
        <w:bidi w:val="0"/>
        <w:rPr>
          <w:rFonts w:hint="eastAsia"/>
          <w:color w:val="auto"/>
          <w:highlight w:val="none"/>
        </w:rPr>
      </w:pPr>
    </w:p>
    <w:p w14:paraId="674D92BB">
      <w:pPr>
        <w:bidi w:val="0"/>
        <w:rPr>
          <w:rFonts w:hint="eastAsia"/>
          <w:color w:val="auto"/>
          <w:highlight w:val="none"/>
        </w:rPr>
      </w:pPr>
    </w:p>
    <w:p w14:paraId="4E8009CD">
      <w:pPr>
        <w:bidi w:val="0"/>
        <w:rPr>
          <w:rFonts w:hint="eastAsia"/>
          <w:color w:val="auto"/>
          <w:highlight w:val="none"/>
        </w:rPr>
      </w:pPr>
    </w:p>
    <w:p w14:paraId="058BEFBC">
      <w:pPr>
        <w:bidi w:val="0"/>
        <w:rPr>
          <w:rFonts w:hint="eastAsia"/>
          <w:color w:val="auto"/>
          <w:highlight w:val="none"/>
        </w:rPr>
      </w:pPr>
    </w:p>
    <w:p w14:paraId="0C3DF3CD">
      <w:pPr>
        <w:bidi w:val="0"/>
        <w:rPr>
          <w:rFonts w:hint="eastAsia"/>
          <w:color w:val="auto"/>
          <w:highlight w:val="none"/>
        </w:rPr>
      </w:pPr>
    </w:p>
    <w:p w14:paraId="0DB7080C">
      <w:pPr>
        <w:bidi w:val="0"/>
        <w:rPr>
          <w:rFonts w:hint="eastAsia"/>
          <w:color w:val="auto"/>
          <w:highlight w:val="none"/>
        </w:rPr>
      </w:pPr>
    </w:p>
    <w:p w14:paraId="62BD663B">
      <w:pPr>
        <w:bidi w:val="0"/>
        <w:rPr>
          <w:rFonts w:hint="eastAsia"/>
          <w:color w:val="auto"/>
          <w:highlight w:val="none"/>
        </w:rPr>
      </w:pPr>
    </w:p>
    <w:p w14:paraId="19061965">
      <w:pPr>
        <w:bidi w:val="0"/>
        <w:rPr>
          <w:rFonts w:hint="eastAsia"/>
          <w:color w:val="auto"/>
          <w:highlight w:val="none"/>
        </w:rPr>
      </w:pPr>
    </w:p>
    <w:p w14:paraId="19BB13E5">
      <w:pPr>
        <w:bidi w:val="0"/>
        <w:rPr>
          <w:rFonts w:hint="eastAsia"/>
          <w:color w:val="auto"/>
          <w:highlight w:val="none"/>
        </w:rPr>
      </w:pPr>
    </w:p>
    <w:p w14:paraId="5FA443A1">
      <w:pPr>
        <w:bidi w:val="0"/>
        <w:rPr>
          <w:rFonts w:hint="eastAsia"/>
          <w:color w:val="auto"/>
          <w:highlight w:val="none"/>
        </w:rPr>
      </w:pPr>
    </w:p>
    <w:p w14:paraId="01614CA2">
      <w:pPr>
        <w:bidi w:val="0"/>
        <w:rPr>
          <w:rFonts w:hint="eastAsia"/>
          <w:color w:val="auto"/>
          <w:highlight w:val="none"/>
        </w:rPr>
      </w:pPr>
    </w:p>
    <w:bookmarkEnd w:id="88"/>
    <w:bookmarkEnd w:id="89"/>
    <w:p w14:paraId="4E5629BE">
      <w:pPr>
        <w:keepNext w:val="0"/>
        <w:keepLines w:val="0"/>
        <w:pageBreakBefore w:val="0"/>
        <w:widowControl w:val="0"/>
        <w:kinsoku/>
        <w:wordWrap/>
        <w:overflowPunct/>
        <w:topLinePunct w:val="0"/>
        <w:autoSpaceDE/>
        <w:autoSpaceDN/>
        <w:bidi w:val="0"/>
        <w:adjustRightInd/>
        <w:snapToGrid/>
        <w:spacing w:line="700" w:lineRule="exact"/>
        <w:jc w:val="center"/>
        <w:textAlignment w:val="auto"/>
        <w:outlineLvl w:val="9"/>
        <w:rPr>
          <w:rFonts w:hint="eastAsia" w:ascii="宋体" w:hAnsi="宋体" w:eastAsia="宋体" w:cs="宋体"/>
          <w:color w:val="auto"/>
          <w:kern w:val="0"/>
          <w:sz w:val="36"/>
          <w:szCs w:val="36"/>
          <w:highlight w:val="none"/>
        </w:rPr>
      </w:pPr>
      <w:bookmarkStart w:id="90" w:name="_Toc20141"/>
      <w:r>
        <w:rPr>
          <w:rFonts w:hint="eastAsia" w:ascii="宋体" w:hAnsi="宋体" w:eastAsia="宋体" w:cs="宋体"/>
          <w:color w:val="auto"/>
          <w:kern w:val="0"/>
          <w:sz w:val="36"/>
          <w:szCs w:val="36"/>
          <w:highlight w:val="none"/>
        </w:rPr>
        <w:br w:type="page"/>
      </w:r>
    </w:p>
    <w:p w14:paraId="6A7DF112">
      <w:pPr>
        <w:pStyle w:val="2"/>
        <w:keepNext w:val="0"/>
        <w:keepLines w:val="0"/>
        <w:pageBreakBefore w:val="0"/>
        <w:widowControl w:val="0"/>
        <w:kinsoku/>
        <w:wordWrap/>
        <w:overflowPunct/>
        <w:topLinePunct w:val="0"/>
        <w:autoSpaceDE/>
        <w:autoSpaceDN/>
        <w:bidi w:val="0"/>
        <w:adjustRightInd/>
        <w:snapToGrid/>
        <w:spacing w:line="700" w:lineRule="exact"/>
        <w:jc w:val="center"/>
        <w:textAlignment w:val="auto"/>
        <w:rPr>
          <w:rFonts w:hint="eastAsia" w:ascii="宋体" w:hAnsi="宋体" w:eastAsia="宋体" w:cs="宋体"/>
          <w:color w:val="auto"/>
          <w:kern w:val="0"/>
          <w:sz w:val="36"/>
          <w:szCs w:val="36"/>
          <w:highlight w:val="none"/>
        </w:rPr>
      </w:pPr>
      <w:bookmarkStart w:id="91" w:name="_Toc25046"/>
      <w:r>
        <w:rPr>
          <w:rFonts w:hint="eastAsia" w:ascii="宋体" w:hAnsi="宋体" w:eastAsia="宋体" w:cs="宋体"/>
          <w:color w:val="auto"/>
          <w:kern w:val="0"/>
          <w:sz w:val="36"/>
          <w:szCs w:val="36"/>
          <w:highlight w:val="none"/>
        </w:rPr>
        <w:t>第</w:t>
      </w:r>
      <w:r>
        <w:rPr>
          <w:rFonts w:hint="eastAsia" w:ascii="宋体" w:hAnsi="宋体" w:eastAsia="宋体" w:cs="宋体"/>
          <w:color w:val="auto"/>
          <w:kern w:val="0"/>
          <w:sz w:val="36"/>
          <w:szCs w:val="36"/>
          <w:highlight w:val="none"/>
          <w:lang w:val="en-US" w:eastAsia="zh-CN"/>
        </w:rPr>
        <w:t>五</w:t>
      </w:r>
      <w:r>
        <w:rPr>
          <w:rFonts w:hint="eastAsia" w:ascii="宋体" w:hAnsi="宋体" w:eastAsia="宋体" w:cs="宋体"/>
          <w:color w:val="auto"/>
          <w:kern w:val="0"/>
          <w:sz w:val="36"/>
          <w:szCs w:val="36"/>
          <w:highlight w:val="none"/>
        </w:rPr>
        <w:t>章  磋商响应文件格式</w:t>
      </w:r>
      <w:bookmarkEnd w:id="90"/>
      <w:bookmarkEnd w:id="91"/>
    </w:p>
    <w:p w14:paraId="6BB341FD">
      <w:pPr>
        <w:rPr>
          <w:rFonts w:ascii="宋体" w:hAnsi="宋体"/>
          <w:color w:val="auto"/>
          <w:highlight w:val="none"/>
        </w:rPr>
      </w:pPr>
    </w:p>
    <w:p w14:paraId="5EFEF4F2">
      <w:pPr>
        <w:jc w:val="center"/>
        <w:rPr>
          <w:rFonts w:hint="eastAsia" w:ascii="宋体" w:hAnsi="宋体"/>
          <w:b/>
          <w:bCs/>
          <w:color w:val="auto"/>
          <w:sz w:val="44"/>
          <w:szCs w:val="44"/>
          <w:highlight w:val="none"/>
        </w:rPr>
      </w:pPr>
      <w:bookmarkStart w:id="92" w:name="_Toc3012_WPSOffice_Level1"/>
    </w:p>
    <w:p w14:paraId="6FE3BEAC">
      <w:pPr>
        <w:jc w:val="center"/>
        <w:rPr>
          <w:rFonts w:hint="eastAsia" w:ascii="宋体" w:hAnsi="宋体"/>
          <w:b/>
          <w:bCs/>
          <w:color w:val="auto"/>
          <w:sz w:val="44"/>
          <w:szCs w:val="44"/>
          <w:highlight w:val="none"/>
        </w:rPr>
      </w:pPr>
    </w:p>
    <w:p w14:paraId="579B21BD">
      <w:pPr>
        <w:jc w:val="center"/>
        <w:outlineLvl w:val="9"/>
        <w:rPr>
          <w:rFonts w:ascii="宋体" w:hAnsi="宋体"/>
          <w:b/>
          <w:bCs/>
          <w:color w:val="auto"/>
          <w:sz w:val="44"/>
          <w:szCs w:val="44"/>
          <w:highlight w:val="none"/>
        </w:rPr>
      </w:pPr>
      <w:bookmarkStart w:id="93" w:name="_Toc14174"/>
      <w:r>
        <w:rPr>
          <w:rFonts w:hint="eastAsia" w:ascii="宋体" w:hAnsi="宋体"/>
          <w:b/>
          <w:bCs/>
          <w:color w:val="auto"/>
          <w:sz w:val="44"/>
          <w:szCs w:val="44"/>
          <w:highlight w:val="none"/>
        </w:rPr>
        <w:t>湖 北 省 枝 江 市 政 府 采 购</w:t>
      </w:r>
      <w:bookmarkEnd w:id="92"/>
      <w:bookmarkEnd w:id="93"/>
    </w:p>
    <w:p w14:paraId="19BE5DDB">
      <w:pPr>
        <w:jc w:val="center"/>
        <w:outlineLvl w:val="9"/>
        <w:rPr>
          <w:rFonts w:hint="eastAsia" w:ascii="宋体" w:hAnsi="宋体"/>
          <w:b/>
          <w:bCs/>
          <w:color w:val="auto"/>
          <w:sz w:val="44"/>
          <w:szCs w:val="44"/>
          <w:highlight w:val="none"/>
        </w:rPr>
      </w:pPr>
      <w:bookmarkStart w:id="94" w:name="_Toc32617"/>
      <w:bookmarkStart w:id="95" w:name="_Toc21895_WPSOffice_Level1"/>
      <w:r>
        <w:rPr>
          <w:rFonts w:hint="eastAsia" w:ascii="宋体" w:hAnsi="宋体"/>
          <w:b/>
          <w:bCs/>
          <w:color w:val="auto"/>
          <w:sz w:val="44"/>
          <w:szCs w:val="44"/>
          <w:highlight w:val="none"/>
        </w:rPr>
        <w:t>（正本/副本）</w:t>
      </w:r>
      <w:bookmarkEnd w:id="94"/>
      <w:bookmarkEnd w:id="95"/>
    </w:p>
    <w:p w14:paraId="06204ED8">
      <w:pPr>
        <w:jc w:val="center"/>
        <w:outlineLvl w:val="9"/>
        <w:rPr>
          <w:rFonts w:hint="eastAsia" w:ascii="宋体" w:hAnsi="宋体"/>
          <w:b/>
          <w:bCs/>
          <w:color w:val="auto"/>
          <w:sz w:val="44"/>
          <w:szCs w:val="44"/>
          <w:highlight w:val="none"/>
        </w:rPr>
      </w:pPr>
    </w:p>
    <w:p w14:paraId="142ECC0C">
      <w:pPr>
        <w:jc w:val="center"/>
        <w:outlineLvl w:val="9"/>
        <w:rPr>
          <w:rFonts w:hint="eastAsia" w:ascii="宋体" w:hAnsi="宋体"/>
          <w:b/>
          <w:bCs/>
          <w:color w:val="auto"/>
          <w:sz w:val="44"/>
          <w:szCs w:val="44"/>
          <w:highlight w:val="none"/>
        </w:rPr>
      </w:pPr>
    </w:p>
    <w:p w14:paraId="2D1B472D">
      <w:pPr>
        <w:jc w:val="center"/>
        <w:outlineLvl w:val="9"/>
        <w:rPr>
          <w:rFonts w:hint="eastAsia" w:ascii="宋体" w:hAnsi="宋体"/>
          <w:b/>
          <w:bCs/>
          <w:color w:val="auto"/>
          <w:sz w:val="44"/>
          <w:szCs w:val="44"/>
          <w:highlight w:val="none"/>
        </w:rPr>
      </w:pPr>
    </w:p>
    <w:p w14:paraId="61254D8E">
      <w:pPr>
        <w:jc w:val="center"/>
        <w:outlineLvl w:val="9"/>
        <w:rPr>
          <w:rFonts w:hint="eastAsia" w:ascii="宋体" w:hAnsi="宋体"/>
          <w:b/>
          <w:bCs/>
          <w:color w:val="auto"/>
          <w:sz w:val="44"/>
          <w:szCs w:val="44"/>
          <w:highlight w:val="none"/>
        </w:rPr>
      </w:pPr>
    </w:p>
    <w:p w14:paraId="0CD6B10C">
      <w:pPr>
        <w:jc w:val="center"/>
        <w:outlineLvl w:val="9"/>
        <w:rPr>
          <w:rFonts w:hint="eastAsia" w:ascii="宋体" w:hAnsi="宋体"/>
          <w:b/>
          <w:bCs/>
          <w:color w:val="auto"/>
          <w:sz w:val="80"/>
          <w:szCs w:val="80"/>
          <w:highlight w:val="none"/>
        </w:rPr>
      </w:pPr>
      <w:bookmarkStart w:id="96" w:name="_Toc218_WPSOffice_Level1"/>
      <w:bookmarkStart w:id="97" w:name="_Toc28370"/>
      <w:r>
        <w:rPr>
          <w:rFonts w:hint="eastAsia" w:ascii="宋体" w:hAnsi="宋体"/>
          <w:b/>
          <w:bCs/>
          <w:color w:val="auto"/>
          <w:sz w:val="80"/>
          <w:szCs w:val="80"/>
          <w:highlight w:val="none"/>
        </w:rPr>
        <w:t>竞争性磋商响应文件</w:t>
      </w:r>
      <w:bookmarkEnd w:id="96"/>
      <w:bookmarkEnd w:id="97"/>
    </w:p>
    <w:p w14:paraId="3875DC65">
      <w:pPr>
        <w:spacing w:line="500" w:lineRule="exact"/>
        <w:jc w:val="left"/>
        <w:outlineLvl w:val="9"/>
        <w:rPr>
          <w:rFonts w:hint="eastAsia" w:ascii="宋体" w:hAnsi="宋体"/>
          <w:color w:val="auto"/>
          <w:sz w:val="28"/>
          <w:highlight w:val="none"/>
        </w:rPr>
      </w:pPr>
    </w:p>
    <w:p w14:paraId="1DB64591">
      <w:pPr>
        <w:spacing w:line="500" w:lineRule="exact"/>
        <w:jc w:val="left"/>
        <w:outlineLvl w:val="9"/>
        <w:rPr>
          <w:rFonts w:hint="eastAsia" w:ascii="宋体" w:hAnsi="宋体"/>
          <w:color w:val="auto"/>
          <w:sz w:val="28"/>
          <w:highlight w:val="none"/>
        </w:rPr>
      </w:pPr>
    </w:p>
    <w:p w14:paraId="528D854B">
      <w:pPr>
        <w:spacing w:line="500" w:lineRule="exact"/>
        <w:jc w:val="left"/>
        <w:outlineLvl w:val="9"/>
        <w:rPr>
          <w:rFonts w:hint="eastAsia" w:ascii="宋体" w:hAnsi="宋体"/>
          <w:color w:val="auto"/>
          <w:sz w:val="28"/>
          <w:highlight w:val="none"/>
        </w:rPr>
      </w:pPr>
    </w:p>
    <w:p w14:paraId="56351016">
      <w:pPr>
        <w:spacing w:line="500" w:lineRule="exact"/>
        <w:ind w:firstLine="566" w:firstLineChars="200"/>
        <w:jc w:val="left"/>
        <w:outlineLvl w:val="9"/>
        <w:rPr>
          <w:rFonts w:hint="eastAsia" w:ascii="宋体" w:hAnsi="宋体"/>
          <w:color w:val="auto"/>
          <w:sz w:val="28"/>
          <w:highlight w:val="none"/>
        </w:rPr>
      </w:pPr>
    </w:p>
    <w:p w14:paraId="14B22EF7">
      <w:pPr>
        <w:spacing w:line="500" w:lineRule="exact"/>
        <w:ind w:firstLine="566" w:firstLineChars="200"/>
        <w:jc w:val="left"/>
        <w:outlineLvl w:val="9"/>
        <w:rPr>
          <w:rFonts w:hint="eastAsia" w:ascii="宋体" w:hAnsi="宋体"/>
          <w:color w:val="auto"/>
          <w:sz w:val="28"/>
          <w:highlight w:val="none"/>
        </w:rPr>
      </w:pPr>
    </w:p>
    <w:p w14:paraId="67B7D679">
      <w:pPr>
        <w:spacing w:line="500" w:lineRule="exact"/>
        <w:jc w:val="left"/>
        <w:outlineLvl w:val="9"/>
        <w:rPr>
          <w:rFonts w:hint="eastAsia" w:ascii="宋体" w:hAnsi="宋体"/>
          <w:color w:val="auto"/>
          <w:sz w:val="28"/>
          <w:highlight w:val="none"/>
        </w:rPr>
      </w:pPr>
    </w:p>
    <w:p w14:paraId="79223CC6">
      <w:pPr>
        <w:spacing w:line="500" w:lineRule="exact"/>
        <w:ind w:firstLine="566" w:firstLineChars="200"/>
        <w:jc w:val="left"/>
        <w:outlineLvl w:val="9"/>
        <w:rPr>
          <w:rFonts w:hint="eastAsia" w:ascii="宋体" w:hAnsi="宋体"/>
          <w:color w:val="auto"/>
          <w:sz w:val="28"/>
          <w:highlight w:val="none"/>
        </w:rPr>
      </w:pPr>
    </w:p>
    <w:p w14:paraId="7C122DF8">
      <w:pPr>
        <w:keepNext w:val="0"/>
        <w:keepLines w:val="0"/>
        <w:pageBreakBefore w:val="0"/>
        <w:widowControl w:val="0"/>
        <w:kinsoku/>
        <w:wordWrap/>
        <w:overflowPunct/>
        <w:topLinePunct w:val="0"/>
        <w:autoSpaceDE/>
        <w:autoSpaceDN/>
        <w:bidi w:val="0"/>
        <w:adjustRightInd/>
        <w:snapToGrid/>
        <w:spacing w:line="700" w:lineRule="exact"/>
        <w:jc w:val="left"/>
        <w:textAlignment w:val="auto"/>
        <w:outlineLvl w:val="9"/>
        <w:rPr>
          <w:rFonts w:hint="default" w:ascii="宋体" w:hAnsi="宋体" w:eastAsia="宋体"/>
          <w:b/>
          <w:bCs w:val="0"/>
          <w:color w:val="auto"/>
          <w:sz w:val="36"/>
          <w:szCs w:val="36"/>
          <w:highlight w:val="none"/>
          <w:u w:val="single"/>
          <w:lang w:val="en-US" w:eastAsia="zh-CN"/>
        </w:rPr>
      </w:pPr>
      <w:r>
        <w:rPr>
          <w:rFonts w:hint="eastAsia" w:ascii="宋体" w:hAnsi="宋体"/>
          <w:color w:val="auto"/>
          <w:sz w:val="28"/>
          <w:highlight w:val="none"/>
        </w:rPr>
        <w:t xml:space="preserve"> </w:t>
      </w:r>
      <w:bookmarkStart w:id="98" w:name="_Toc4233_WPSOffice_Level1"/>
      <w:bookmarkStart w:id="99" w:name="_Toc31207"/>
      <w:r>
        <w:rPr>
          <w:rFonts w:hint="eastAsia" w:ascii="宋体" w:hAnsi="宋体"/>
          <w:color w:val="auto"/>
          <w:sz w:val="28"/>
          <w:highlight w:val="none"/>
          <w:lang w:val="en-US" w:eastAsia="zh-CN"/>
        </w:rPr>
        <w:t xml:space="preserve">        </w:t>
      </w:r>
      <w:r>
        <w:rPr>
          <w:rFonts w:hint="eastAsia" w:ascii="宋体" w:hAnsi="宋体"/>
          <w:b/>
          <w:color w:val="auto"/>
          <w:sz w:val="36"/>
          <w:szCs w:val="36"/>
          <w:highlight w:val="none"/>
        </w:rPr>
        <w:t>项目名称：</w:t>
      </w:r>
      <w:bookmarkEnd w:id="98"/>
      <w:bookmarkEnd w:id="99"/>
      <w:r>
        <w:rPr>
          <w:rFonts w:hint="eastAsia" w:ascii="宋体" w:hAnsi="宋体"/>
          <w:b/>
          <w:color w:val="auto"/>
          <w:sz w:val="36"/>
          <w:szCs w:val="36"/>
          <w:highlight w:val="none"/>
          <w:u w:val="single"/>
          <w:lang w:val="en-US" w:eastAsia="zh-CN"/>
        </w:rPr>
        <w:t xml:space="preserve">                          </w:t>
      </w:r>
    </w:p>
    <w:p w14:paraId="121CC893">
      <w:pPr>
        <w:keepNext w:val="0"/>
        <w:keepLines w:val="0"/>
        <w:pageBreakBefore w:val="0"/>
        <w:widowControl w:val="0"/>
        <w:kinsoku/>
        <w:wordWrap/>
        <w:overflowPunct/>
        <w:topLinePunct w:val="0"/>
        <w:autoSpaceDE/>
        <w:autoSpaceDN/>
        <w:bidi w:val="0"/>
        <w:adjustRightInd/>
        <w:snapToGrid/>
        <w:spacing w:line="700" w:lineRule="exact"/>
        <w:ind w:firstLine="1266" w:firstLineChars="349"/>
        <w:jc w:val="left"/>
        <w:textAlignment w:val="auto"/>
        <w:outlineLvl w:val="9"/>
        <w:rPr>
          <w:rFonts w:hint="eastAsia" w:ascii="宋体" w:hAnsi="宋体"/>
          <w:b/>
          <w:color w:val="auto"/>
          <w:sz w:val="36"/>
          <w:szCs w:val="36"/>
          <w:highlight w:val="none"/>
          <w:u w:val="single"/>
        </w:rPr>
      </w:pPr>
      <w:bookmarkStart w:id="100" w:name="_Toc31982"/>
      <w:bookmarkStart w:id="101" w:name="_Toc19968_WPSOffice_Level1"/>
      <w:r>
        <w:rPr>
          <w:rFonts w:hint="eastAsia" w:ascii="宋体" w:hAnsi="宋体"/>
          <w:b/>
          <w:color w:val="auto"/>
          <w:sz w:val="36"/>
          <w:szCs w:val="36"/>
          <w:highlight w:val="none"/>
        </w:rPr>
        <w:t>供应商名称：</w:t>
      </w:r>
      <w:r>
        <w:rPr>
          <w:rFonts w:hint="eastAsia" w:ascii="宋体" w:hAnsi="宋体"/>
          <w:b/>
          <w:color w:val="auto"/>
          <w:sz w:val="36"/>
          <w:szCs w:val="36"/>
          <w:highlight w:val="none"/>
          <w:u w:val="single"/>
          <w:lang w:val="en-US" w:eastAsia="zh-CN"/>
        </w:rPr>
        <w:t xml:space="preserve">                 </w:t>
      </w:r>
      <w:r>
        <w:rPr>
          <w:rFonts w:hint="eastAsia" w:ascii="宋体" w:hAnsi="宋体"/>
          <w:b/>
          <w:color w:val="auto"/>
          <w:sz w:val="36"/>
          <w:szCs w:val="36"/>
          <w:highlight w:val="none"/>
        </w:rPr>
        <w:t>（</w:t>
      </w:r>
      <w:r>
        <w:rPr>
          <w:rFonts w:hint="eastAsia" w:ascii="宋体" w:hAnsi="宋体"/>
          <w:b/>
          <w:color w:val="auto"/>
          <w:sz w:val="36"/>
          <w:szCs w:val="36"/>
          <w:highlight w:val="none"/>
          <w:lang w:eastAsia="zh-CN"/>
        </w:rPr>
        <w:t>盖章</w:t>
      </w:r>
      <w:r>
        <w:rPr>
          <w:rFonts w:hint="eastAsia" w:ascii="宋体" w:hAnsi="宋体"/>
          <w:b/>
          <w:color w:val="auto"/>
          <w:sz w:val="36"/>
          <w:szCs w:val="36"/>
          <w:highlight w:val="none"/>
        </w:rPr>
        <w:t>）</w:t>
      </w:r>
      <w:bookmarkEnd w:id="100"/>
      <w:bookmarkEnd w:id="101"/>
    </w:p>
    <w:p w14:paraId="01130ADE">
      <w:pPr>
        <w:keepNext w:val="0"/>
        <w:keepLines w:val="0"/>
        <w:pageBreakBefore w:val="0"/>
        <w:widowControl w:val="0"/>
        <w:kinsoku/>
        <w:wordWrap/>
        <w:overflowPunct/>
        <w:topLinePunct w:val="0"/>
        <w:autoSpaceDE/>
        <w:autoSpaceDN/>
        <w:bidi w:val="0"/>
        <w:adjustRightInd/>
        <w:snapToGrid/>
        <w:spacing w:line="700" w:lineRule="exact"/>
        <w:ind w:firstLine="1266" w:firstLineChars="349"/>
        <w:jc w:val="left"/>
        <w:textAlignment w:val="auto"/>
        <w:outlineLvl w:val="9"/>
        <w:rPr>
          <w:rFonts w:hint="eastAsia" w:ascii="黑体" w:hAnsi="黑体" w:eastAsia="黑体" w:cs="黑体"/>
          <w:color w:val="auto"/>
          <w:sz w:val="44"/>
          <w:szCs w:val="44"/>
          <w:highlight w:val="none"/>
        </w:rPr>
      </w:pPr>
      <w:bookmarkStart w:id="102" w:name="_Toc13945"/>
      <w:bookmarkStart w:id="103" w:name="_Toc15698_WPSOffice_Level1"/>
      <w:r>
        <w:rPr>
          <w:rFonts w:hint="eastAsia" w:ascii="宋体" w:hAnsi="宋体"/>
          <w:b/>
          <w:bCs/>
          <w:color w:val="auto"/>
          <w:sz w:val="36"/>
          <w:szCs w:val="36"/>
          <w:highlight w:val="none"/>
        </w:rPr>
        <w:t xml:space="preserve">日  </w:t>
      </w:r>
      <w:r>
        <w:rPr>
          <w:rFonts w:ascii="宋体" w:hAnsi="宋体"/>
          <w:b/>
          <w:bCs/>
          <w:color w:val="auto"/>
          <w:sz w:val="36"/>
          <w:szCs w:val="36"/>
          <w:highlight w:val="none"/>
        </w:rPr>
        <w:t xml:space="preserve">  </w:t>
      </w:r>
      <w:r>
        <w:rPr>
          <w:rFonts w:hint="eastAsia" w:ascii="宋体" w:hAnsi="宋体"/>
          <w:b/>
          <w:bCs/>
          <w:color w:val="auto"/>
          <w:sz w:val="36"/>
          <w:szCs w:val="36"/>
          <w:highlight w:val="none"/>
        </w:rPr>
        <w:t>期：</w:t>
      </w:r>
      <w:r>
        <w:rPr>
          <w:rFonts w:hint="eastAsia" w:ascii="宋体" w:hAnsi="宋体"/>
          <w:b/>
          <w:bCs/>
          <w:color w:val="auto"/>
          <w:sz w:val="36"/>
          <w:szCs w:val="36"/>
          <w:highlight w:val="none"/>
          <w:u w:val="single"/>
        </w:rPr>
        <w:t xml:space="preserve">        </w:t>
      </w:r>
      <w:r>
        <w:rPr>
          <w:rFonts w:hint="eastAsia" w:ascii="宋体" w:hAnsi="宋体"/>
          <w:b/>
          <w:bCs/>
          <w:color w:val="auto"/>
          <w:sz w:val="36"/>
          <w:szCs w:val="36"/>
          <w:highlight w:val="none"/>
        </w:rPr>
        <w:t>年</w:t>
      </w:r>
      <w:r>
        <w:rPr>
          <w:rFonts w:hint="eastAsia" w:ascii="宋体" w:hAnsi="宋体"/>
          <w:b/>
          <w:bCs/>
          <w:color w:val="auto"/>
          <w:sz w:val="36"/>
          <w:szCs w:val="36"/>
          <w:highlight w:val="none"/>
          <w:u w:val="single"/>
        </w:rPr>
        <w:t xml:space="preserve">      </w:t>
      </w:r>
      <w:r>
        <w:rPr>
          <w:rFonts w:hint="eastAsia" w:ascii="宋体" w:hAnsi="宋体"/>
          <w:b/>
          <w:bCs/>
          <w:color w:val="auto"/>
          <w:sz w:val="36"/>
          <w:szCs w:val="36"/>
          <w:highlight w:val="none"/>
        </w:rPr>
        <w:t>月</w:t>
      </w:r>
      <w:bookmarkEnd w:id="102"/>
      <w:r>
        <w:rPr>
          <w:rFonts w:hint="eastAsia" w:ascii="宋体" w:hAnsi="宋体"/>
          <w:b/>
          <w:bCs/>
          <w:color w:val="auto"/>
          <w:sz w:val="36"/>
          <w:szCs w:val="36"/>
          <w:highlight w:val="none"/>
          <w:u w:val="single"/>
        </w:rPr>
        <w:t xml:space="preserve">      </w:t>
      </w:r>
      <w:bookmarkEnd w:id="103"/>
    </w:p>
    <w:p w14:paraId="387AA5D2">
      <w:pPr>
        <w:snapToGrid w:val="0"/>
        <w:rPr>
          <w:rFonts w:hint="eastAsia" w:ascii="宋体" w:hAnsi="宋体" w:cs="宋体"/>
          <w:color w:val="auto"/>
          <w:sz w:val="28"/>
          <w:szCs w:val="28"/>
          <w:highlight w:val="none"/>
        </w:rPr>
      </w:pPr>
    </w:p>
    <w:p w14:paraId="60533F68">
      <w:pPr>
        <w:keepNext w:val="0"/>
        <w:keepLines w:val="0"/>
        <w:pageBreakBefore w:val="0"/>
        <w:widowControl w:val="0"/>
        <w:kinsoku/>
        <w:wordWrap/>
        <w:overflowPunct/>
        <w:topLinePunct w:val="0"/>
        <w:autoSpaceDE/>
        <w:autoSpaceDN/>
        <w:bidi w:val="0"/>
        <w:adjustRightInd w:val="0"/>
        <w:snapToGrid w:val="0"/>
        <w:spacing w:line="700" w:lineRule="exact"/>
        <w:jc w:val="center"/>
        <w:textAlignment w:val="auto"/>
        <w:outlineLvl w:val="9"/>
        <w:rPr>
          <w:rFonts w:hint="eastAsia" w:ascii="宋体" w:hAnsi="宋体"/>
          <w:b/>
          <w:color w:val="auto"/>
          <w:kern w:val="0"/>
          <w:sz w:val="36"/>
          <w:szCs w:val="36"/>
          <w:highlight w:val="none"/>
          <w:lang w:eastAsia="zh-CN"/>
        </w:rPr>
      </w:pPr>
      <w:bookmarkStart w:id="104" w:name="_Toc29604"/>
      <w:bookmarkStart w:id="105" w:name="_Toc25564"/>
    </w:p>
    <w:p w14:paraId="241E2D59">
      <w:pPr>
        <w:keepNext w:val="0"/>
        <w:keepLines w:val="0"/>
        <w:pageBreakBefore w:val="0"/>
        <w:widowControl w:val="0"/>
        <w:kinsoku/>
        <w:wordWrap/>
        <w:overflowPunct/>
        <w:topLinePunct w:val="0"/>
        <w:autoSpaceDE/>
        <w:autoSpaceDN/>
        <w:bidi w:val="0"/>
        <w:adjustRightInd w:val="0"/>
        <w:snapToGrid w:val="0"/>
        <w:spacing w:line="700" w:lineRule="exact"/>
        <w:jc w:val="center"/>
        <w:textAlignment w:val="auto"/>
        <w:outlineLvl w:val="1"/>
        <w:rPr>
          <w:rFonts w:hint="eastAsia" w:ascii="宋体" w:hAnsi="宋体"/>
          <w:b/>
          <w:color w:val="auto"/>
          <w:kern w:val="0"/>
          <w:sz w:val="36"/>
          <w:szCs w:val="36"/>
          <w:highlight w:val="none"/>
        </w:rPr>
      </w:pPr>
      <w:bookmarkStart w:id="106" w:name="_Toc14720"/>
      <w:r>
        <w:rPr>
          <w:rFonts w:hint="eastAsia" w:ascii="宋体" w:hAnsi="宋体"/>
          <w:b/>
          <w:color w:val="auto"/>
          <w:kern w:val="0"/>
          <w:sz w:val="36"/>
          <w:szCs w:val="36"/>
          <w:highlight w:val="none"/>
          <w:lang w:eastAsia="zh-CN"/>
        </w:rPr>
        <w:t>响应</w:t>
      </w:r>
      <w:r>
        <w:rPr>
          <w:rFonts w:hint="eastAsia" w:ascii="宋体" w:hAnsi="宋体"/>
          <w:b/>
          <w:color w:val="auto"/>
          <w:kern w:val="0"/>
          <w:sz w:val="36"/>
          <w:szCs w:val="36"/>
          <w:highlight w:val="none"/>
        </w:rPr>
        <w:t>主要文件目录</w:t>
      </w:r>
      <w:bookmarkEnd w:id="104"/>
      <w:bookmarkEnd w:id="105"/>
      <w:bookmarkEnd w:id="106"/>
    </w:p>
    <w:p w14:paraId="4A9172C5">
      <w:pPr>
        <w:keepNext w:val="0"/>
        <w:keepLines w:val="0"/>
        <w:pageBreakBefore w:val="0"/>
        <w:widowControl w:val="0"/>
        <w:kinsoku/>
        <w:wordWrap/>
        <w:overflowPunct/>
        <w:topLinePunct w:val="0"/>
        <w:autoSpaceDE/>
        <w:autoSpaceDN/>
        <w:bidi w:val="0"/>
        <w:adjustRightInd w:val="0"/>
        <w:snapToGrid w:val="0"/>
        <w:spacing w:line="500" w:lineRule="exact"/>
        <w:ind w:firstLine="566" w:firstLineChars="200"/>
        <w:textAlignment w:val="auto"/>
        <w:outlineLvl w:val="9"/>
        <w:rPr>
          <w:rFonts w:hint="eastAsia" w:ascii="宋体" w:hAnsi="宋体"/>
          <w:color w:val="auto"/>
          <w:kern w:val="0"/>
          <w:sz w:val="28"/>
          <w:szCs w:val="28"/>
          <w:highlight w:val="none"/>
        </w:rPr>
      </w:pPr>
      <w:bookmarkStart w:id="107" w:name="_Toc10666"/>
      <w:r>
        <w:rPr>
          <w:rFonts w:ascii="宋体" w:hAnsi="宋体"/>
          <w:color w:val="auto"/>
          <w:kern w:val="0"/>
          <w:sz w:val="28"/>
          <w:szCs w:val="28"/>
          <w:highlight w:val="none"/>
        </w:rPr>
        <w:t>1</w:t>
      </w:r>
      <w:r>
        <w:rPr>
          <w:rFonts w:hint="eastAsia" w:ascii="宋体" w:hAnsi="宋体"/>
          <w:color w:val="auto"/>
          <w:kern w:val="0"/>
          <w:sz w:val="28"/>
          <w:szCs w:val="28"/>
          <w:highlight w:val="none"/>
        </w:rPr>
        <w:t>、</w:t>
      </w:r>
      <w:r>
        <w:rPr>
          <w:rFonts w:hint="eastAsia" w:ascii="宋体" w:hAnsi="宋体"/>
          <w:color w:val="auto"/>
          <w:kern w:val="0"/>
          <w:sz w:val="28"/>
          <w:szCs w:val="28"/>
          <w:highlight w:val="none"/>
          <w:lang w:eastAsia="zh-CN"/>
        </w:rPr>
        <w:t>竞争性</w:t>
      </w:r>
      <w:r>
        <w:rPr>
          <w:rFonts w:hint="eastAsia" w:ascii="宋体" w:hAnsi="宋体"/>
          <w:color w:val="auto"/>
          <w:kern w:val="0"/>
          <w:sz w:val="28"/>
          <w:szCs w:val="28"/>
          <w:highlight w:val="none"/>
        </w:rPr>
        <w:t>磋商响应函；</w:t>
      </w:r>
      <w:bookmarkEnd w:id="107"/>
      <w:r>
        <w:rPr>
          <w:rFonts w:hint="eastAsia" w:ascii="宋体" w:hAnsi="宋体"/>
          <w:color w:val="auto"/>
          <w:kern w:val="0"/>
          <w:sz w:val="28"/>
          <w:szCs w:val="28"/>
          <w:highlight w:val="none"/>
        </w:rPr>
        <w:t xml:space="preserve"> </w:t>
      </w:r>
    </w:p>
    <w:p w14:paraId="11D36105">
      <w:pPr>
        <w:keepNext w:val="0"/>
        <w:keepLines w:val="0"/>
        <w:pageBreakBefore w:val="0"/>
        <w:widowControl w:val="0"/>
        <w:kinsoku/>
        <w:wordWrap/>
        <w:overflowPunct/>
        <w:topLinePunct w:val="0"/>
        <w:autoSpaceDE/>
        <w:autoSpaceDN/>
        <w:bidi w:val="0"/>
        <w:adjustRightInd w:val="0"/>
        <w:snapToGrid w:val="0"/>
        <w:spacing w:line="500" w:lineRule="exact"/>
        <w:ind w:firstLine="566" w:firstLineChars="200"/>
        <w:textAlignment w:val="auto"/>
        <w:outlineLvl w:val="9"/>
        <w:rPr>
          <w:rFonts w:hint="eastAsia" w:ascii="宋体" w:hAnsi="宋体"/>
          <w:color w:val="auto"/>
          <w:kern w:val="0"/>
          <w:sz w:val="28"/>
          <w:szCs w:val="28"/>
          <w:highlight w:val="none"/>
        </w:rPr>
      </w:pPr>
      <w:bookmarkStart w:id="108" w:name="_Toc32310"/>
      <w:r>
        <w:rPr>
          <w:rFonts w:ascii="宋体" w:hAnsi="宋体"/>
          <w:color w:val="auto"/>
          <w:kern w:val="0"/>
          <w:sz w:val="28"/>
          <w:szCs w:val="28"/>
          <w:highlight w:val="none"/>
        </w:rPr>
        <w:t>2</w:t>
      </w:r>
      <w:r>
        <w:rPr>
          <w:rFonts w:hint="eastAsia" w:ascii="宋体" w:hAnsi="宋体"/>
          <w:color w:val="auto"/>
          <w:kern w:val="0"/>
          <w:sz w:val="28"/>
          <w:szCs w:val="28"/>
          <w:highlight w:val="none"/>
        </w:rPr>
        <w:t>、磋商供应商资格证明文件：</w:t>
      </w:r>
      <w:bookmarkEnd w:id="108"/>
      <w:r>
        <w:rPr>
          <w:rFonts w:hint="eastAsia" w:ascii="宋体" w:hAnsi="宋体"/>
          <w:color w:val="auto"/>
          <w:kern w:val="0"/>
          <w:sz w:val="28"/>
          <w:szCs w:val="28"/>
          <w:highlight w:val="none"/>
        </w:rPr>
        <w:t xml:space="preserve"> </w:t>
      </w:r>
    </w:p>
    <w:p w14:paraId="1787E7E2">
      <w:pPr>
        <w:keepNext w:val="0"/>
        <w:keepLines w:val="0"/>
        <w:pageBreakBefore w:val="0"/>
        <w:widowControl w:val="0"/>
        <w:kinsoku/>
        <w:wordWrap/>
        <w:overflowPunct/>
        <w:topLinePunct w:val="0"/>
        <w:autoSpaceDE/>
        <w:autoSpaceDN/>
        <w:bidi w:val="0"/>
        <w:spacing w:line="500" w:lineRule="exact"/>
        <w:ind w:left="1276" w:hanging="709"/>
        <w:jc w:val="left"/>
        <w:textAlignment w:val="auto"/>
        <w:outlineLvl w:val="9"/>
        <w:rPr>
          <w:rFonts w:ascii="宋体" w:hAnsi="宋体"/>
          <w:color w:val="auto"/>
          <w:sz w:val="28"/>
          <w:szCs w:val="28"/>
          <w:highlight w:val="none"/>
        </w:rPr>
      </w:pPr>
      <w:r>
        <w:rPr>
          <w:rFonts w:hint="eastAsia" w:ascii="宋体" w:hAnsi="宋体"/>
          <w:color w:val="auto"/>
          <w:sz w:val="28"/>
          <w:szCs w:val="28"/>
          <w:highlight w:val="none"/>
        </w:rPr>
        <w:t>（1）法人代表人资格证明文件</w:t>
      </w:r>
    </w:p>
    <w:p w14:paraId="718AC245">
      <w:pPr>
        <w:keepNext w:val="0"/>
        <w:keepLines w:val="0"/>
        <w:pageBreakBefore w:val="0"/>
        <w:widowControl w:val="0"/>
        <w:kinsoku/>
        <w:wordWrap/>
        <w:overflowPunct/>
        <w:topLinePunct w:val="0"/>
        <w:autoSpaceDE/>
        <w:autoSpaceDN/>
        <w:bidi w:val="0"/>
        <w:spacing w:line="500" w:lineRule="exact"/>
        <w:ind w:left="1276" w:hanging="709"/>
        <w:jc w:val="left"/>
        <w:textAlignment w:val="auto"/>
        <w:outlineLvl w:val="9"/>
        <w:rPr>
          <w:rFonts w:ascii="宋体" w:hAnsi="宋体"/>
          <w:color w:val="auto"/>
          <w:sz w:val="28"/>
          <w:szCs w:val="28"/>
          <w:highlight w:val="none"/>
        </w:rPr>
      </w:pPr>
      <w:r>
        <w:rPr>
          <w:rFonts w:hint="eastAsia" w:ascii="宋体" w:hAnsi="宋体"/>
          <w:color w:val="auto"/>
          <w:sz w:val="28"/>
          <w:szCs w:val="28"/>
          <w:highlight w:val="none"/>
        </w:rPr>
        <w:t>（2）法定代表人授权书</w:t>
      </w:r>
    </w:p>
    <w:p w14:paraId="329B1B4B">
      <w:pPr>
        <w:keepNext w:val="0"/>
        <w:keepLines w:val="0"/>
        <w:pageBreakBefore w:val="0"/>
        <w:widowControl w:val="0"/>
        <w:kinsoku/>
        <w:wordWrap/>
        <w:overflowPunct/>
        <w:topLinePunct w:val="0"/>
        <w:autoSpaceDE/>
        <w:autoSpaceDN/>
        <w:bidi w:val="0"/>
        <w:spacing w:line="500" w:lineRule="exact"/>
        <w:ind w:left="1276" w:hanging="709"/>
        <w:jc w:val="left"/>
        <w:textAlignment w:val="auto"/>
        <w:outlineLvl w:val="9"/>
        <w:rPr>
          <w:rFonts w:ascii="宋体" w:hAnsi="宋体"/>
          <w:color w:val="auto"/>
          <w:sz w:val="28"/>
          <w:szCs w:val="28"/>
          <w:highlight w:val="none"/>
        </w:rPr>
      </w:pPr>
      <w:r>
        <w:rPr>
          <w:rFonts w:hint="eastAsia" w:ascii="宋体" w:hAnsi="宋体"/>
          <w:color w:val="auto"/>
          <w:sz w:val="28"/>
          <w:szCs w:val="28"/>
          <w:highlight w:val="none"/>
        </w:rPr>
        <w:t>（3）法人或者其他组织的营业执照等证明文件，自然人的身份证明；</w:t>
      </w:r>
    </w:p>
    <w:p w14:paraId="47D1BC59">
      <w:pPr>
        <w:keepNext w:val="0"/>
        <w:keepLines w:val="0"/>
        <w:pageBreakBefore w:val="0"/>
        <w:widowControl w:val="0"/>
        <w:kinsoku/>
        <w:wordWrap/>
        <w:overflowPunct/>
        <w:topLinePunct w:val="0"/>
        <w:autoSpaceDE/>
        <w:autoSpaceDN/>
        <w:bidi w:val="0"/>
        <w:spacing w:line="500" w:lineRule="exact"/>
        <w:ind w:left="1276" w:hanging="709"/>
        <w:jc w:val="left"/>
        <w:textAlignment w:val="auto"/>
        <w:outlineLvl w:val="9"/>
        <w:rPr>
          <w:rFonts w:hint="eastAsia" w:ascii="宋体" w:hAnsi="宋体"/>
          <w:color w:val="auto"/>
          <w:sz w:val="28"/>
          <w:szCs w:val="28"/>
          <w:highlight w:val="none"/>
        </w:rPr>
      </w:pPr>
      <w:r>
        <w:rPr>
          <w:rFonts w:hint="eastAsia" w:ascii="宋体" w:hAnsi="宋体"/>
          <w:color w:val="auto"/>
          <w:sz w:val="28"/>
          <w:szCs w:val="28"/>
          <w:highlight w:val="none"/>
        </w:rPr>
        <w:t>（</w:t>
      </w:r>
      <w:r>
        <w:rPr>
          <w:rFonts w:hint="eastAsia" w:ascii="宋体" w:hAnsi="宋体"/>
          <w:color w:val="auto"/>
          <w:sz w:val="28"/>
          <w:szCs w:val="28"/>
          <w:highlight w:val="none"/>
          <w:lang w:val="en-US" w:eastAsia="zh-CN"/>
        </w:rPr>
        <w:t>4</w:t>
      </w:r>
      <w:r>
        <w:rPr>
          <w:rFonts w:hint="eastAsia" w:ascii="宋体" w:hAnsi="宋体"/>
          <w:color w:val="auto"/>
          <w:sz w:val="28"/>
          <w:szCs w:val="28"/>
          <w:highlight w:val="none"/>
        </w:rPr>
        <w:t>）具备法律、行政法规规定的其他条件的证明材料；</w:t>
      </w:r>
    </w:p>
    <w:p w14:paraId="5461B2CF">
      <w:pPr>
        <w:keepNext w:val="0"/>
        <w:keepLines w:val="0"/>
        <w:pageBreakBefore w:val="0"/>
        <w:widowControl w:val="0"/>
        <w:kinsoku/>
        <w:wordWrap/>
        <w:overflowPunct/>
        <w:topLinePunct w:val="0"/>
        <w:autoSpaceDE/>
        <w:autoSpaceDN/>
        <w:bidi w:val="0"/>
        <w:spacing w:line="500" w:lineRule="exact"/>
        <w:ind w:left="1276" w:hanging="709"/>
        <w:jc w:val="left"/>
        <w:textAlignment w:val="auto"/>
        <w:outlineLvl w:val="9"/>
        <w:rPr>
          <w:rFonts w:hint="eastAsia" w:ascii="宋体" w:hAnsi="宋体"/>
          <w:color w:val="auto"/>
          <w:sz w:val="28"/>
          <w:szCs w:val="28"/>
          <w:highlight w:val="none"/>
        </w:rPr>
      </w:pPr>
      <w:r>
        <w:rPr>
          <w:rFonts w:hint="eastAsia" w:ascii="宋体" w:hAnsi="宋体"/>
          <w:color w:val="auto"/>
          <w:sz w:val="28"/>
          <w:szCs w:val="28"/>
          <w:highlight w:val="none"/>
        </w:rPr>
        <w:t>（</w:t>
      </w:r>
      <w:r>
        <w:rPr>
          <w:rFonts w:hint="eastAsia" w:ascii="宋体" w:hAnsi="宋体"/>
          <w:color w:val="auto"/>
          <w:sz w:val="28"/>
          <w:szCs w:val="28"/>
          <w:highlight w:val="none"/>
          <w:lang w:val="en-US" w:eastAsia="zh-CN"/>
        </w:rPr>
        <w:t>5</w:t>
      </w:r>
      <w:r>
        <w:rPr>
          <w:rFonts w:hint="eastAsia" w:ascii="宋体" w:hAnsi="宋体"/>
          <w:color w:val="auto"/>
          <w:sz w:val="28"/>
          <w:szCs w:val="28"/>
          <w:highlight w:val="none"/>
        </w:rPr>
        <w:t xml:space="preserve">）磋商文件要求或供应商认为需提供的其它相关资格证明材料。 </w:t>
      </w:r>
    </w:p>
    <w:p w14:paraId="0533A53D">
      <w:pPr>
        <w:keepNext w:val="0"/>
        <w:keepLines w:val="0"/>
        <w:pageBreakBefore w:val="0"/>
        <w:widowControl w:val="0"/>
        <w:kinsoku/>
        <w:wordWrap/>
        <w:overflowPunct/>
        <w:topLinePunct w:val="0"/>
        <w:autoSpaceDE/>
        <w:autoSpaceDN/>
        <w:bidi w:val="0"/>
        <w:spacing w:line="500" w:lineRule="exact"/>
        <w:ind w:firstLine="566" w:firstLineChars="200"/>
        <w:textAlignment w:val="auto"/>
        <w:outlineLvl w:val="9"/>
        <w:rPr>
          <w:rFonts w:hint="eastAsia" w:ascii="宋体" w:hAnsi="宋体" w:eastAsia="宋体"/>
          <w:color w:val="auto"/>
          <w:sz w:val="28"/>
          <w:szCs w:val="28"/>
          <w:highlight w:val="none"/>
          <w:lang w:eastAsia="zh-CN"/>
        </w:rPr>
      </w:pPr>
      <w:bookmarkStart w:id="109" w:name="_Toc7977"/>
      <w:r>
        <w:rPr>
          <w:rFonts w:hint="eastAsia" w:ascii="宋体" w:hAnsi="宋体"/>
          <w:color w:val="auto"/>
          <w:sz w:val="28"/>
          <w:szCs w:val="28"/>
          <w:highlight w:val="none"/>
          <w:lang w:val="en-US" w:eastAsia="zh-CN"/>
        </w:rPr>
        <w:t>3</w:t>
      </w:r>
      <w:r>
        <w:rPr>
          <w:rFonts w:hint="eastAsia" w:ascii="宋体" w:hAnsi="宋体"/>
          <w:color w:val="auto"/>
          <w:sz w:val="28"/>
          <w:szCs w:val="28"/>
          <w:highlight w:val="none"/>
        </w:rPr>
        <w:t>、</w:t>
      </w:r>
      <w:r>
        <w:rPr>
          <w:rFonts w:hint="eastAsia" w:ascii="宋体" w:hAnsi="宋体"/>
          <w:color w:val="auto"/>
          <w:sz w:val="28"/>
          <w:szCs w:val="28"/>
          <w:highlight w:val="none"/>
          <w:lang w:eastAsia="zh-CN"/>
        </w:rPr>
        <w:t>磋商报价表；</w:t>
      </w:r>
    </w:p>
    <w:p w14:paraId="7D3C7D51">
      <w:pPr>
        <w:keepNext w:val="0"/>
        <w:keepLines w:val="0"/>
        <w:pageBreakBefore w:val="0"/>
        <w:widowControl w:val="0"/>
        <w:kinsoku/>
        <w:wordWrap/>
        <w:overflowPunct/>
        <w:topLinePunct w:val="0"/>
        <w:autoSpaceDE/>
        <w:autoSpaceDN/>
        <w:bidi w:val="0"/>
        <w:spacing w:line="500" w:lineRule="exact"/>
        <w:ind w:firstLine="566" w:firstLineChars="200"/>
        <w:textAlignment w:val="auto"/>
        <w:outlineLvl w:val="9"/>
        <w:rPr>
          <w:rFonts w:hint="eastAsia" w:ascii="宋体" w:hAnsi="宋体"/>
          <w:color w:val="auto"/>
          <w:sz w:val="28"/>
          <w:szCs w:val="28"/>
          <w:highlight w:val="none"/>
          <w:lang w:val="en-US" w:eastAsia="zh-CN"/>
        </w:rPr>
      </w:pPr>
      <w:r>
        <w:rPr>
          <w:rFonts w:hint="eastAsia" w:ascii="宋体" w:hAnsi="宋体"/>
          <w:color w:val="auto"/>
          <w:sz w:val="28"/>
          <w:szCs w:val="28"/>
          <w:highlight w:val="none"/>
          <w:lang w:val="en-US" w:eastAsia="zh-CN"/>
        </w:rPr>
        <w:t>4、第二次报价表；</w:t>
      </w:r>
    </w:p>
    <w:p w14:paraId="7A444ED0">
      <w:pPr>
        <w:keepNext w:val="0"/>
        <w:keepLines w:val="0"/>
        <w:pageBreakBefore w:val="0"/>
        <w:widowControl w:val="0"/>
        <w:kinsoku/>
        <w:wordWrap/>
        <w:overflowPunct/>
        <w:topLinePunct w:val="0"/>
        <w:autoSpaceDE/>
        <w:autoSpaceDN/>
        <w:bidi w:val="0"/>
        <w:spacing w:line="500" w:lineRule="exact"/>
        <w:ind w:firstLine="566" w:firstLineChars="200"/>
        <w:textAlignment w:val="auto"/>
        <w:outlineLvl w:val="9"/>
        <w:rPr>
          <w:rFonts w:hint="eastAsia" w:ascii="宋体" w:hAnsi="宋体"/>
          <w:color w:val="auto"/>
          <w:sz w:val="28"/>
          <w:szCs w:val="28"/>
          <w:highlight w:val="none"/>
          <w:lang w:val="en-US" w:eastAsia="zh-CN"/>
        </w:rPr>
      </w:pPr>
      <w:r>
        <w:rPr>
          <w:rFonts w:hint="eastAsia" w:ascii="宋体" w:hAnsi="宋体"/>
          <w:color w:val="auto"/>
          <w:sz w:val="28"/>
          <w:szCs w:val="28"/>
          <w:highlight w:val="none"/>
          <w:lang w:val="en-US" w:eastAsia="zh-CN"/>
        </w:rPr>
        <w:t>5、供应商资格声明承诺函；</w:t>
      </w:r>
    </w:p>
    <w:p w14:paraId="21FF3689">
      <w:pPr>
        <w:keepNext w:val="0"/>
        <w:keepLines w:val="0"/>
        <w:pageBreakBefore w:val="0"/>
        <w:widowControl w:val="0"/>
        <w:kinsoku/>
        <w:wordWrap/>
        <w:overflowPunct/>
        <w:topLinePunct w:val="0"/>
        <w:autoSpaceDE/>
        <w:autoSpaceDN/>
        <w:bidi w:val="0"/>
        <w:spacing w:line="500" w:lineRule="exact"/>
        <w:ind w:firstLine="566" w:firstLineChars="200"/>
        <w:textAlignment w:val="auto"/>
        <w:outlineLvl w:val="9"/>
        <w:rPr>
          <w:rFonts w:hint="eastAsia" w:ascii="宋体" w:hAnsi="宋体"/>
          <w:color w:val="auto"/>
          <w:sz w:val="28"/>
          <w:szCs w:val="28"/>
          <w:highlight w:val="none"/>
        </w:rPr>
      </w:pPr>
      <w:r>
        <w:rPr>
          <w:rFonts w:hint="eastAsia" w:ascii="宋体" w:hAnsi="宋体"/>
          <w:color w:val="auto"/>
          <w:sz w:val="28"/>
          <w:szCs w:val="28"/>
          <w:highlight w:val="none"/>
          <w:lang w:val="en-US" w:eastAsia="zh-CN"/>
        </w:rPr>
        <w:t>6、</w:t>
      </w:r>
      <w:r>
        <w:rPr>
          <w:rFonts w:hint="eastAsia" w:ascii="宋体" w:hAnsi="宋体"/>
          <w:color w:val="auto"/>
          <w:sz w:val="28"/>
          <w:szCs w:val="28"/>
          <w:highlight w:val="none"/>
        </w:rPr>
        <w:t>项目组人员配备情况表；</w:t>
      </w:r>
      <w:bookmarkEnd w:id="109"/>
      <w:r>
        <w:rPr>
          <w:rFonts w:hint="eastAsia" w:ascii="宋体" w:hAnsi="宋体"/>
          <w:color w:val="auto"/>
          <w:sz w:val="28"/>
          <w:szCs w:val="28"/>
          <w:highlight w:val="none"/>
        </w:rPr>
        <w:t xml:space="preserve"> </w:t>
      </w:r>
    </w:p>
    <w:p w14:paraId="237ABA77">
      <w:pPr>
        <w:keepNext w:val="0"/>
        <w:keepLines w:val="0"/>
        <w:pageBreakBefore w:val="0"/>
        <w:widowControl w:val="0"/>
        <w:kinsoku/>
        <w:wordWrap/>
        <w:overflowPunct/>
        <w:topLinePunct w:val="0"/>
        <w:autoSpaceDE/>
        <w:autoSpaceDN/>
        <w:bidi w:val="0"/>
        <w:spacing w:line="500" w:lineRule="exact"/>
        <w:ind w:firstLine="566" w:firstLineChars="200"/>
        <w:textAlignment w:val="auto"/>
        <w:outlineLvl w:val="9"/>
        <w:rPr>
          <w:rFonts w:ascii="宋体" w:hAnsi="宋体"/>
          <w:color w:val="auto"/>
          <w:sz w:val="28"/>
          <w:szCs w:val="28"/>
          <w:highlight w:val="none"/>
        </w:rPr>
      </w:pPr>
      <w:bookmarkStart w:id="110" w:name="_Toc6462"/>
      <w:r>
        <w:rPr>
          <w:rFonts w:hint="eastAsia" w:ascii="宋体" w:hAnsi="宋体"/>
          <w:color w:val="auto"/>
          <w:sz w:val="28"/>
          <w:szCs w:val="28"/>
          <w:highlight w:val="none"/>
          <w:lang w:val="en-US" w:eastAsia="zh-CN"/>
        </w:rPr>
        <w:t>7、</w:t>
      </w:r>
      <w:r>
        <w:rPr>
          <w:rFonts w:hint="eastAsia" w:ascii="宋体" w:hAnsi="宋体"/>
          <w:color w:val="auto"/>
          <w:sz w:val="28"/>
          <w:szCs w:val="28"/>
          <w:highlight w:val="none"/>
        </w:rPr>
        <w:t>近三年类似项目的业绩及相关证明资料；</w:t>
      </w:r>
      <w:bookmarkEnd w:id="110"/>
      <w:r>
        <w:rPr>
          <w:rFonts w:hint="eastAsia" w:ascii="宋体" w:hAnsi="宋体"/>
          <w:color w:val="auto"/>
          <w:sz w:val="28"/>
          <w:szCs w:val="28"/>
          <w:highlight w:val="none"/>
        </w:rPr>
        <w:t xml:space="preserve"> </w:t>
      </w:r>
    </w:p>
    <w:p w14:paraId="47AE738F">
      <w:pPr>
        <w:keepNext w:val="0"/>
        <w:keepLines w:val="0"/>
        <w:pageBreakBefore w:val="0"/>
        <w:widowControl w:val="0"/>
        <w:kinsoku/>
        <w:wordWrap/>
        <w:overflowPunct/>
        <w:topLinePunct w:val="0"/>
        <w:autoSpaceDE/>
        <w:autoSpaceDN/>
        <w:bidi w:val="0"/>
        <w:spacing w:line="500" w:lineRule="exact"/>
        <w:ind w:firstLine="566" w:firstLineChars="200"/>
        <w:textAlignment w:val="auto"/>
        <w:outlineLvl w:val="9"/>
        <w:rPr>
          <w:rFonts w:hint="eastAsia" w:ascii="宋体" w:hAnsi="宋体"/>
          <w:color w:val="auto"/>
          <w:sz w:val="28"/>
          <w:szCs w:val="28"/>
          <w:highlight w:val="none"/>
        </w:rPr>
      </w:pPr>
      <w:bookmarkStart w:id="111" w:name="_Toc10792"/>
      <w:r>
        <w:rPr>
          <w:rFonts w:hint="eastAsia" w:ascii="宋体" w:hAnsi="宋体"/>
          <w:color w:val="auto"/>
          <w:sz w:val="28"/>
          <w:szCs w:val="28"/>
          <w:highlight w:val="none"/>
          <w:lang w:val="en-US" w:eastAsia="zh-CN"/>
        </w:rPr>
        <w:t>8</w:t>
      </w:r>
      <w:r>
        <w:rPr>
          <w:rFonts w:hint="eastAsia" w:ascii="宋体" w:hAnsi="宋体"/>
          <w:color w:val="auto"/>
          <w:sz w:val="28"/>
          <w:szCs w:val="28"/>
          <w:highlight w:val="none"/>
        </w:rPr>
        <w:t>、信用信息查询记录；</w:t>
      </w:r>
      <w:bookmarkEnd w:id="111"/>
    </w:p>
    <w:p w14:paraId="30B3B32B">
      <w:pPr>
        <w:keepNext w:val="0"/>
        <w:keepLines w:val="0"/>
        <w:pageBreakBefore w:val="0"/>
        <w:widowControl w:val="0"/>
        <w:kinsoku/>
        <w:wordWrap/>
        <w:overflowPunct/>
        <w:topLinePunct w:val="0"/>
        <w:autoSpaceDE/>
        <w:autoSpaceDN/>
        <w:bidi w:val="0"/>
        <w:spacing w:line="500" w:lineRule="exact"/>
        <w:ind w:firstLine="566" w:firstLineChars="200"/>
        <w:textAlignment w:val="auto"/>
        <w:outlineLvl w:val="9"/>
        <w:rPr>
          <w:rFonts w:hint="eastAsia" w:ascii="宋体" w:hAnsi="宋体"/>
          <w:color w:val="auto"/>
          <w:sz w:val="28"/>
          <w:szCs w:val="28"/>
          <w:highlight w:val="none"/>
          <w:lang w:val="en-US" w:eastAsia="zh-CN"/>
        </w:rPr>
      </w:pPr>
      <w:bookmarkStart w:id="112" w:name="_Toc30749"/>
      <w:r>
        <w:rPr>
          <w:rFonts w:hint="eastAsia" w:ascii="宋体" w:hAnsi="宋体"/>
          <w:color w:val="auto"/>
          <w:sz w:val="28"/>
          <w:szCs w:val="28"/>
          <w:highlight w:val="none"/>
          <w:lang w:val="en-US" w:eastAsia="zh-CN"/>
        </w:rPr>
        <w:t>9</w:t>
      </w:r>
      <w:r>
        <w:rPr>
          <w:rFonts w:hint="eastAsia" w:ascii="宋体" w:hAnsi="宋体"/>
          <w:color w:val="auto"/>
          <w:sz w:val="28"/>
          <w:szCs w:val="28"/>
          <w:highlight w:val="none"/>
        </w:rPr>
        <w:t>、</w:t>
      </w:r>
      <w:bookmarkEnd w:id="112"/>
      <w:r>
        <w:rPr>
          <w:rFonts w:hint="eastAsia" w:ascii="宋体" w:hAnsi="宋体"/>
          <w:color w:val="auto"/>
          <w:sz w:val="28"/>
          <w:szCs w:val="28"/>
          <w:highlight w:val="none"/>
          <w:lang w:val="en-US" w:eastAsia="zh-CN"/>
        </w:rPr>
        <w:t>中小企业声明函；</w:t>
      </w:r>
    </w:p>
    <w:p w14:paraId="17495ECB">
      <w:pPr>
        <w:keepNext w:val="0"/>
        <w:keepLines w:val="0"/>
        <w:pageBreakBefore w:val="0"/>
        <w:widowControl w:val="0"/>
        <w:kinsoku/>
        <w:wordWrap/>
        <w:overflowPunct/>
        <w:topLinePunct w:val="0"/>
        <w:autoSpaceDE/>
        <w:autoSpaceDN/>
        <w:bidi w:val="0"/>
        <w:spacing w:line="500" w:lineRule="exact"/>
        <w:ind w:firstLine="566" w:firstLineChars="200"/>
        <w:textAlignment w:val="auto"/>
        <w:outlineLvl w:val="9"/>
        <w:rPr>
          <w:rFonts w:hint="eastAsia" w:ascii="宋体" w:hAnsi="宋体"/>
          <w:color w:val="auto"/>
          <w:sz w:val="28"/>
          <w:szCs w:val="28"/>
          <w:highlight w:val="none"/>
          <w:lang w:val="en-US" w:eastAsia="zh-CN"/>
        </w:rPr>
      </w:pPr>
      <w:r>
        <w:rPr>
          <w:rFonts w:hint="eastAsia" w:ascii="宋体" w:hAnsi="宋体"/>
          <w:color w:val="auto"/>
          <w:sz w:val="28"/>
          <w:szCs w:val="28"/>
          <w:highlight w:val="none"/>
          <w:lang w:val="en-US" w:eastAsia="zh-CN"/>
        </w:rPr>
        <w:t>10、中小企业划型标准；</w:t>
      </w:r>
    </w:p>
    <w:p w14:paraId="1738B49F">
      <w:pPr>
        <w:keepNext w:val="0"/>
        <w:keepLines w:val="0"/>
        <w:pageBreakBefore w:val="0"/>
        <w:widowControl w:val="0"/>
        <w:kinsoku/>
        <w:wordWrap/>
        <w:overflowPunct/>
        <w:topLinePunct w:val="0"/>
        <w:autoSpaceDE/>
        <w:autoSpaceDN/>
        <w:bidi w:val="0"/>
        <w:spacing w:line="500" w:lineRule="exact"/>
        <w:ind w:firstLine="566" w:firstLineChars="200"/>
        <w:textAlignment w:val="auto"/>
        <w:outlineLvl w:val="9"/>
        <w:rPr>
          <w:rFonts w:hint="eastAsia" w:ascii="宋体" w:hAnsi="宋体"/>
          <w:color w:val="auto"/>
          <w:sz w:val="28"/>
          <w:szCs w:val="28"/>
          <w:highlight w:val="none"/>
        </w:rPr>
      </w:pPr>
      <w:r>
        <w:rPr>
          <w:rFonts w:hint="eastAsia" w:ascii="宋体" w:hAnsi="宋体"/>
          <w:color w:val="auto"/>
          <w:sz w:val="28"/>
          <w:szCs w:val="28"/>
          <w:highlight w:val="none"/>
          <w:lang w:val="en-US" w:eastAsia="zh-CN"/>
        </w:rPr>
        <w:t>11、</w:t>
      </w:r>
      <w:r>
        <w:rPr>
          <w:rFonts w:hint="eastAsia" w:ascii="宋体" w:hAnsi="宋体"/>
          <w:color w:val="auto"/>
          <w:sz w:val="28"/>
          <w:szCs w:val="28"/>
          <w:highlight w:val="none"/>
        </w:rPr>
        <w:t xml:space="preserve">本竞争性磋商文件要求提供的其他资料和需要说明的问题； </w:t>
      </w:r>
    </w:p>
    <w:p w14:paraId="09B8FCCF">
      <w:pPr>
        <w:keepNext w:val="0"/>
        <w:keepLines w:val="0"/>
        <w:pageBreakBefore w:val="0"/>
        <w:widowControl w:val="0"/>
        <w:kinsoku/>
        <w:wordWrap/>
        <w:overflowPunct/>
        <w:topLinePunct w:val="0"/>
        <w:autoSpaceDE/>
        <w:autoSpaceDN/>
        <w:bidi w:val="0"/>
        <w:spacing w:line="500" w:lineRule="exact"/>
        <w:ind w:firstLine="566" w:firstLineChars="200"/>
        <w:textAlignment w:val="auto"/>
        <w:outlineLvl w:val="9"/>
        <w:rPr>
          <w:rFonts w:hint="eastAsia" w:ascii="宋体" w:hAnsi="宋体" w:eastAsia="宋体" w:cs="宋体"/>
          <w:color w:val="auto"/>
          <w:sz w:val="28"/>
          <w:szCs w:val="28"/>
          <w:highlight w:val="none"/>
          <w:lang w:eastAsia="zh-CN"/>
        </w:rPr>
      </w:pPr>
      <w:bookmarkStart w:id="113" w:name="_Toc20886"/>
      <w:r>
        <w:rPr>
          <w:rFonts w:hint="eastAsia" w:ascii="宋体" w:hAnsi="宋体"/>
          <w:color w:val="auto"/>
          <w:sz w:val="28"/>
          <w:szCs w:val="28"/>
          <w:highlight w:val="none"/>
          <w:lang w:val="en-US" w:eastAsia="zh-CN"/>
        </w:rPr>
        <w:t>12、</w:t>
      </w:r>
      <w:r>
        <w:rPr>
          <w:rFonts w:hint="eastAsia" w:ascii="宋体" w:hAnsi="宋体"/>
          <w:color w:val="auto"/>
          <w:sz w:val="28"/>
          <w:szCs w:val="28"/>
          <w:highlight w:val="none"/>
        </w:rPr>
        <w:t>磋商供应商认为需要提供的有关资料</w:t>
      </w:r>
      <w:bookmarkEnd w:id="113"/>
      <w:r>
        <w:rPr>
          <w:rFonts w:hint="eastAsia" w:ascii="宋体" w:hAnsi="宋体"/>
          <w:color w:val="auto"/>
          <w:sz w:val="28"/>
          <w:szCs w:val="28"/>
          <w:highlight w:val="none"/>
          <w:lang w:eastAsia="zh-CN"/>
        </w:rPr>
        <w:t>。</w:t>
      </w:r>
    </w:p>
    <w:p w14:paraId="03BCC8B9">
      <w:pPr>
        <w:keepNext w:val="0"/>
        <w:keepLines w:val="0"/>
        <w:pageBreakBefore w:val="0"/>
        <w:widowControl w:val="0"/>
        <w:kinsoku/>
        <w:wordWrap/>
        <w:overflowPunct/>
        <w:topLinePunct w:val="0"/>
        <w:autoSpaceDE/>
        <w:autoSpaceDN/>
        <w:bidi w:val="0"/>
        <w:spacing w:line="500" w:lineRule="exact"/>
        <w:ind w:firstLine="566" w:firstLineChars="200"/>
        <w:textAlignment w:val="auto"/>
        <w:outlineLvl w:val="9"/>
        <w:rPr>
          <w:rFonts w:hint="default" w:ascii="宋体" w:hAnsi="宋体"/>
          <w:color w:val="auto"/>
          <w:sz w:val="28"/>
          <w:szCs w:val="28"/>
          <w:highlight w:val="none"/>
          <w:lang w:val="en-US" w:eastAsia="zh-CN"/>
        </w:rPr>
      </w:pPr>
    </w:p>
    <w:p w14:paraId="29208D3F">
      <w:pPr>
        <w:snapToGrid w:val="0"/>
        <w:ind w:firstLine="849" w:firstLineChars="300"/>
        <w:rPr>
          <w:rFonts w:hint="eastAsia" w:ascii="宋体" w:hAnsi="宋体" w:cs="宋体"/>
          <w:color w:val="auto"/>
          <w:sz w:val="28"/>
          <w:szCs w:val="28"/>
          <w:highlight w:val="none"/>
        </w:rPr>
      </w:pPr>
    </w:p>
    <w:p w14:paraId="27699E98">
      <w:pPr>
        <w:snapToGrid w:val="0"/>
        <w:ind w:firstLine="849" w:firstLineChars="300"/>
        <w:rPr>
          <w:rFonts w:hint="eastAsia" w:ascii="宋体" w:hAnsi="宋体" w:cs="宋体"/>
          <w:color w:val="auto"/>
          <w:sz w:val="28"/>
          <w:szCs w:val="28"/>
          <w:highlight w:val="none"/>
        </w:rPr>
      </w:pPr>
    </w:p>
    <w:p w14:paraId="2F5B6B70">
      <w:pPr>
        <w:snapToGrid w:val="0"/>
        <w:ind w:firstLine="849" w:firstLineChars="300"/>
        <w:rPr>
          <w:rFonts w:hint="eastAsia" w:ascii="宋体" w:hAnsi="宋体" w:cs="宋体"/>
          <w:color w:val="auto"/>
          <w:sz w:val="28"/>
          <w:szCs w:val="28"/>
          <w:highlight w:val="none"/>
        </w:rPr>
      </w:pPr>
    </w:p>
    <w:p w14:paraId="12BAF4E3">
      <w:pPr>
        <w:snapToGrid w:val="0"/>
        <w:ind w:firstLine="849" w:firstLineChars="300"/>
        <w:rPr>
          <w:rFonts w:hint="eastAsia" w:ascii="宋体" w:hAnsi="宋体" w:cs="宋体"/>
          <w:color w:val="auto"/>
          <w:sz w:val="28"/>
          <w:szCs w:val="28"/>
          <w:highlight w:val="none"/>
        </w:rPr>
      </w:pPr>
    </w:p>
    <w:p w14:paraId="6FBB61C0">
      <w:pPr>
        <w:snapToGrid w:val="0"/>
        <w:ind w:firstLine="849" w:firstLineChars="300"/>
        <w:rPr>
          <w:rFonts w:hint="eastAsia" w:ascii="宋体" w:hAnsi="宋体" w:cs="宋体"/>
          <w:color w:val="auto"/>
          <w:sz w:val="28"/>
          <w:szCs w:val="28"/>
          <w:highlight w:val="none"/>
        </w:rPr>
      </w:pPr>
    </w:p>
    <w:p w14:paraId="692A8E31">
      <w:pPr>
        <w:snapToGrid w:val="0"/>
        <w:ind w:firstLine="849" w:firstLineChars="300"/>
        <w:rPr>
          <w:rFonts w:hint="eastAsia" w:ascii="宋体" w:hAnsi="宋体" w:cs="宋体"/>
          <w:color w:val="auto"/>
          <w:sz w:val="28"/>
          <w:szCs w:val="28"/>
          <w:highlight w:val="none"/>
        </w:rPr>
      </w:pPr>
    </w:p>
    <w:p w14:paraId="6D22AEF2">
      <w:pPr>
        <w:snapToGrid w:val="0"/>
        <w:ind w:firstLine="849" w:firstLineChars="300"/>
        <w:rPr>
          <w:rFonts w:hint="eastAsia" w:ascii="宋体" w:hAnsi="宋体" w:cs="宋体"/>
          <w:color w:val="auto"/>
          <w:sz w:val="28"/>
          <w:szCs w:val="28"/>
          <w:highlight w:val="none"/>
        </w:rPr>
      </w:pPr>
    </w:p>
    <w:p w14:paraId="6B9CD632">
      <w:pPr>
        <w:snapToGrid w:val="0"/>
        <w:ind w:firstLine="849" w:firstLineChars="300"/>
        <w:rPr>
          <w:rFonts w:hint="eastAsia" w:ascii="宋体" w:hAnsi="宋体" w:cs="宋体"/>
          <w:color w:val="auto"/>
          <w:sz w:val="28"/>
          <w:szCs w:val="28"/>
          <w:highlight w:val="none"/>
        </w:rPr>
        <w:sectPr>
          <w:pgSz w:w="11906" w:h="16838"/>
          <w:pgMar w:top="1134" w:right="1134" w:bottom="1134" w:left="1134" w:header="851" w:footer="992" w:gutter="0"/>
          <w:cols w:space="720" w:num="1"/>
          <w:titlePg/>
          <w:docGrid w:type="linesAndChars" w:linePitch="312" w:charSpace="735"/>
        </w:sectPr>
      </w:pPr>
    </w:p>
    <w:p w14:paraId="6CC30A3E">
      <w:pPr>
        <w:spacing w:line="500" w:lineRule="exact"/>
        <w:jc w:val="center"/>
        <w:outlineLvl w:val="1"/>
        <w:rPr>
          <w:rFonts w:ascii="宋体" w:hAnsi="宋体"/>
          <w:b/>
          <w:color w:val="auto"/>
          <w:sz w:val="36"/>
          <w:szCs w:val="36"/>
          <w:highlight w:val="none"/>
        </w:rPr>
      </w:pPr>
      <w:bookmarkStart w:id="114" w:name="_Toc435"/>
      <w:bookmarkStart w:id="115" w:name="_Toc22368"/>
      <w:bookmarkStart w:id="116" w:name="_Toc30514"/>
      <w:r>
        <w:rPr>
          <w:rFonts w:hint="eastAsia" w:ascii="宋体" w:hAnsi="宋体"/>
          <w:b/>
          <w:color w:val="auto"/>
          <w:sz w:val="36"/>
          <w:szCs w:val="36"/>
          <w:highlight w:val="none"/>
        </w:rPr>
        <w:t>竞争性磋商响应函</w:t>
      </w:r>
      <w:bookmarkEnd w:id="114"/>
      <w:bookmarkEnd w:id="115"/>
    </w:p>
    <w:p w14:paraId="6B024F2A">
      <w:pPr>
        <w:pStyle w:val="11"/>
        <w:keepNext w:val="0"/>
        <w:keepLines w:val="0"/>
        <w:pageBreakBefore w:val="0"/>
        <w:widowControl w:val="0"/>
        <w:kinsoku/>
        <w:wordWrap/>
        <w:overflowPunct/>
        <w:topLinePunct w:val="0"/>
        <w:bidi w:val="0"/>
        <w:snapToGrid/>
        <w:spacing w:line="500" w:lineRule="exact"/>
        <w:textAlignment w:val="auto"/>
        <w:rPr>
          <w:rFonts w:hAnsi="宋体"/>
          <w:color w:val="auto"/>
          <w:sz w:val="28"/>
          <w:szCs w:val="28"/>
          <w:highlight w:val="none"/>
          <w:u w:val="single"/>
        </w:rPr>
      </w:pPr>
      <w:r>
        <w:rPr>
          <w:rFonts w:hint="eastAsia" w:hAnsi="宋体"/>
          <w:color w:val="auto"/>
          <w:sz w:val="28"/>
          <w:szCs w:val="28"/>
          <w:highlight w:val="none"/>
          <w:u w:val="single"/>
        </w:rPr>
        <w:t>（代理机构）：</w:t>
      </w:r>
    </w:p>
    <w:p w14:paraId="36BB2749">
      <w:pPr>
        <w:pStyle w:val="11"/>
        <w:keepNext w:val="0"/>
        <w:keepLines w:val="0"/>
        <w:pageBreakBefore w:val="0"/>
        <w:widowControl w:val="0"/>
        <w:kinsoku/>
        <w:wordWrap/>
        <w:overflowPunct/>
        <w:topLinePunct w:val="0"/>
        <w:bidi w:val="0"/>
        <w:snapToGrid/>
        <w:spacing w:line="500" w:lineRule="exact"/>
        <w:ind w:firstLine="566" w:firstLineChars="200"/>
        <w:textAlignment w:val="auto"/>
        <w:rPr>
          <w:rFonts w:hAnsi="宋体"/>
          <w:color w:val="auto"/>
          <w:sz w:val="28"/>
          <w:szCs w:val="28"/>
          <w:highlight w:val="none"/>
        </w:rPr>
      </w:pPr>
      <w:r>
        <w:rPr>
          <w:rFonts w:hint="eastAsia" w:hAnsi="宋体"/>
          <w:color w:val="auto"/>
          <w:sz w:val="28"/>
          <w:szCs w:val="28"/>
          <w:highlight w:val="none"/>
        </w:rPr>
        <w:t>依据贵方</w:t>
      </w:r>
      <w:r>
        <w:rPr>
          <w:rFonts w:hint="eastAsia" w:hAnsi="宋体"/>
          <w:color w:val="auto"/>
          <w:sz w:val="28"/>
          <w:szCs w:val="28"/>
          <w:highlight w:val="none"/>
          <w:u w:val="single"/>
        </w:rPr>
        <w:t>（项目名称）</w:t>
      </w:r>
      <w:r>
        <w:rPr>
          <w:rFonts w:hint="eastAsia" w:hAnsi="宋体"/>
          <w:color w:val="auto"/>
          <w:sz w:val="28"/>
          <w:szCs w:val="28"/>
          <w:highlight w:val="none"/>
        </w:rPr>
        <w:t>项目政府采购的磋商邀请，我方</w:t>
      </w:r>
      <w:r>
        <w:rPr>
          <w:rFonts w:hint="eastAsia" w:hAnsi="宋体"/>
          <w:color w:val="auto"/>
          <w:sz w:val="28"/>
          <w:szCs w:val="28"/>
          <w:highlight w:val="none"/>
          <w:u w:val="single"/>
        </w:rPr>
        <w:t>（姓名和职务）</w:t>
      </w:r>
      <w:r>
        <w:rPr>
          <w:rFonts w:hint="eastAsia" w:hAnsi="宋体"/>
          <w:color w:val="auto"/>
          <w:sz w:val="28"/>
          <w:szCs w:val="28"/>
          <w:highlight w:val="none"/>
        </w:rPr>
        <w:t>经正式授权并代表磋商供应商</w:t>
      </w:r>
      <w:r>
        <w:rPr>
          <w:rFonts w:hint="eastAsia" w:hAnsi="宋体"/>
          <w:color w:val="auto"/>
          <w:sz w:val="28"/>
          <w:szCs w:val="28"/>
          <w:highlight w:val="none"/>
          <w:u w:val="single"/>
        </w:rPr>
        <w:t>（磋商供应商名称、地址）</w:t>
      </w:r>
      <w:r>
        <w:rPr>
          <w:rFonts w:hint="eastAsia" w:hAnsi="宋体"/>
          <w:color w:val="auto"/>
          <w:sz w:val="28"/>
          <w:szCs w:val="28"/>
          <w:highlight w:val="none"/>
        </w:rPr>
        <w:t>提交下述纸质磋商响应性文件两份，其中正本</w:t>
      </w:r>
      <w:r>
        <w:rPr>
          <w:rFonts w:hint="eastAsia" w:hAnsi="宋体"/>
          <w:color w:val="auto"/>
          <w:sz w:val="28"/>
          <w:szCs w:val="28"/>
          <w:highlight w:val="none"/>
          <w:u w:val="single"/>
          <w:lang w:val="en-US" w:eastAsia="zh-CN"/>
        </w:rPr>
        <w:t xml:space="preserve">   </w:t>
      </w:r>
      <w:r>
        <w:rPr>
          <w:rFonts w:hint="eastAsia" w:hAnsi="宋体"/>
          <w:color w:val="auto"/>
          <w:sz w:val="28"/>
          <w:szCs w:val="28"/>
          <w:highlight w:val="none"/>
        </w:rPr>
        <w:t>份，副本</w:t>
      </w:r>
      <w:r>
        <w:rPr>
          <w:rFonts w:hint="eastAsia" w:hAnsi="宋体"/>
          <w:color w:val="auto"/>
          <w:sz w:val="28"/>
          <w:szCs w:val="28"/>
          <w:highlight w:val="none"/>
          <w:u w:val="single"/>
          <w:lang w:val="en-US" w:eastAsia="zh-CN"/>
        </w:rPr>
        <w:t xml:space="preserve">   </w:t>
      </w:r>
      <w:r>
        <w:rPr>
          <w:rFonts w:hint="eastAsia" w:hAnsi="宋体"/>
          <w:color w:val="auto"/>
          <w:sz w:val="28"/>
          <w:szCs w:val="28"/>
          <w:highlight w:val="none"/>
        </w:rPr>
        <w:t>份</w:t>
      </w:r>
      <w:r>
        <w:rPr>
          <w:rFonts w:hint="eastAsia" w:hAnsi="宋体"/>
          <w:color w:val="auto"/>
          <w:sz w:val="28"/>
          <w:szCs w:val="28"/>
          <w:highlight w:val="none"/>
          <w:lang w:eastAsia="zh-CN"/>
        </w:rPr>
        <w:t>，电子版（</w:t>
      </w:r>
      <w:r>
        <w:rPr>
          <w:rFonts w:hint="eastAsia" w:hAnsi="宋体"/>
          <w:color w:val="auto"/>
          <w:sz w:val="28"/>
          <w:szCs w:val="28"/>
          <w:highlight w:val="none"/>
          <w:lang w:val="en-US" w:eastAsia="zh-CN"/>
        </w:rPr>
        <w:t>U盘</w:t>
      </w:r>
      <w:r>
        <w:rPr>
          <w:rFonts w:hint="eastAsia" w:hAnsi="宋体"/>
          <w:color w:val="auto"/>
          <w:sz w:val="28"/>
          <w:szCs w:val="28"/>
          <w:highlight w:val="none"/>
          <w:lang w:eastAsia="zh-CN"/>
        </w:rPr>
        <w:t>）</w:t>
      </w:r>
      <w:r>
        <w:rPr>
          <w:rFonts w:hint="eastAsia" w:hAnsi="宋体"/>
          <w:color w:val="auto"/>
          <w:sz w:val="28"/>
          <w:szCs w:val="28"/>
          <w:highlight w:val="none"/>
          <w:u w:val="single"/>
          <w:lang w:val="en-US" w:eastAsia="zh-CN"/>
        </w:rPr>
        <w:t xml:space="preserve">   </w:t>
      </w:r>
      <w:r>
        <w:rPr>
          <w:rFonts w:hint="eastAsia" w:hAnsi="宋体"/>
          <w:color w:val="auto"/>
          <w:sz w:val="28"/>
          <w:szCs w:val="28"/>
          <w:highlight w:val="none"/>
          <w:lang w:val="en-US" w:eastAsia="zh-CN"/>
        </w:rPr>
        <w:t>份</w:t>
      </w:r>
      <w:r>
        <w:rPr>
          <w:rFonts w:hint="eastAsia" w:hAnsi="宋体"/>
          <w:color w:val="auto"/>
          <w:sz w:val="28"/>
          <w:szCs w:val="28"/>
          <w:highlight w:val="none"/>
          <w:lang w:eastAsia="zh-CN"/>
        </w:rPr>
        <w:t>。</w:t>
      </w:r>
      <w:r>
        <w:rPr>
          <w:rFonts w:hAnsi="宋体"/>
          <w:color w:val="auto"/>
          <w:sz w:val="28"/>
          <w:szCs w:val="28"/>
          <w:highlight w:val="none"/>
        </w:rPr>
        <w:t xml:space="preserve"> </w:t>
      </w:r>
    </w:p>
    <w:p w14:paraId="1C74B685">
      <w:pPr>
        <w:pStyle w:val="11"/>
        <w:keepNext w:val="0"/>
        <w:keepLines w:val="0"/>
        <w:pageBreakBefore w:val="0"/>
        <w:widowControl w:val="0"/>
        <w:kinsoku/>
        <w:wordWrap/>
        <w:overflowPunct/>
        <w:topLinePunct w:val="0"/>
        <w:bidi w:val="0"/>
        <w:snapToGrid/>
        <w:spacing w:line="500" w:lineRule="exact"/>
        <w:ind w:firstLine="566" w:firstLineChars="200"/>
        <w:textAlignment w:val="auto"/>
        <w:rPr>
          <w:rFonts w:hAnsi="宋体"/>
          <w:color w:val="auto"/>
          <w:sz w:val="28"/>
          <w:szCs w:val="28"/>
          <w:highlight w:val="none"/>
        </w:rPr>
      </w:pPr>
      <w:r>
        <w:rPr>
          <w:rFonts w:hint="eastAsia" w:hAnsi="宋体"/>
          <w:color w:val="auto"/>
          <w:sz w:val="28"/>
          <w:szCs w:val="28"/>
          <w:highlight w:val="none"/>
        </w:rPr>
        <w:t>1.报价表；</w:t>
      </w:r>
    </w:p>
    <w:p w14:paraId="283884B8">
      <w:pPr>
        <w:pStyle w:val="11"/>
        <w:keepNext w:val="0"/>
        <w:keepLines w:val="0"/>
        <w:pageBreakBefore w:val="0"/>
        <w:widowControl w:val="0"/>
        <w:kinsoku/>
        <w:wordWrap/>
        <w:overflowPunct/>
        <w:topLinePunct w:val="0"/>
        <w:bidi w:val="0"/>
        <w:snapToGrid/>
        <w:spacing w:line="500" w:lineRule="exact"/>
        <w:ind w:firstLine="566" w:firstLineChars="200"/>
        <w:textAlignment w:val="auto"/>
        <w:rPr>
          <w:rFonts w:hint="eastAsia" w:hAnsi="宋体"/>
          <w:color w:val="auto"/>
          <w:sz w:val="28"/>
          <w:szCs w:val="28"/>
          <w:highlight w:val="none"/>
        </w:rPr>
      </w:pPr>
      <w:r>
        <w:rPr>
          <w:rFonts w:hint="eastAsia" w:hAnsi="宋体"/>
          <w:color w:val="auto"/>
          <w:sz w:val="28"/>
          <w:szCs w:val="28"/>
          <w:highlight w:val="none"/>
        </w:rPr>
        <w:t>2.施工组织设计；</w:t>
      </w:r>
    </w:p>
    <w:p w14:paraId="254B692A">
      <w:pPr>
        <w:pStyle w:val="11"/>
        <w:keepNext w:val="0"/>
        <w:keepLines w:val="0"/>
        <w:pageBreakBefore w:val="0"/>
        <w:widowControl w:val="0"/>
        <w:kinsoku/>
        <w:wordWrap/>
        <w:overflowPunct/>
        <w:topLinePunct w:val="0"/>
        <w:bidi w:val="0"/>
        <w:snapToGrid/>
        <w:spacing w:line="500" w:lineRule="exact"/>
        <w:ind w:firstLine="566" w:firstLineChars="200"/>
        <w:textAlignment w:val="auto"/>
        <w:rPr>
          <w:rFonts w:hAnsi="宋体"/>
          <w:color w:val="auto"/>
          <w:sz w:val="28"/>
          <w:szCs w:val="28"/>
          <w:highlight w:val="none"/>
        </w:rPr>
      </w:pPr>
      <w:r>
        <w:rPr>
          <w:rFonts w:hint="eastAsia" w:hAnsi="宋体"/>
          <w:color w:val="auto"/>
          <w:sz w:val="28"/>
          <w:szCs w:val="28"/>
          <w:highlight w:val="none"/>
        </w:rPr>
        <w:t>3.按竞争性磋商文件磋商须知和技术规格要求提供的有关文件；</w:t>
      </w:r>
    </w:p>
    <w:p w14:paraId="4C9937C5">
      <w:pPr>
        <w:pStyle w:val="11"/>
        <w:keepNext w:val="0"/>
        <w:keepLines w:val="0"/>
        <w:pageBreakBefore w:val="0"/>
        <w:widowControl w:val="0"/>
        <w:kinsoku/>
        <w:wordWrap/>
        <w:overflowPunct/>
        <w:topLinePunct w:val="0"/>
        <w:bidi w:val="0"/>
        <w:snapToGrid/>
        <w:spacing w:line="500" w:lineRule="exact"/>
        <w:ind w:firstLine="566" w:firstLineChars="200"/>
        <w:textAlignment w:val="auto"/>
        <w:rPr>
          <w:rFonts w:hAnsi="宋体"/>
          <w:color w:val="auto"/>
          <w:sz w:val="28"/>
          <w:szCs w:val="28"/>
          <w:highlight w:val="none"/>
        </w:rPr>
      </w:pPr>
      <w:r>
        <w:rPr>
          <w:rFonts w:hint="eastAsia" w:hAnsi="宋体"/>
          <w:color w:val="auto"/>
          <w:sz w:val="28"/>
          <w:szCs w:val="28"/>
          <w:highlight w:val="none"/>
        </w:rPr>
        <w:t>4.资格证明文件；</w:t>
      </w:r>
    </w:p>
    <w:p w14:paraId="52A3F5C7">
      <w:pPr>
        <w:keepNext w:val="0"/>
        <w:keepLines w:val="0"/>
        <w:pageBreakBefore w:val="0"/>
        <w:widowControl w:val="0"/>
        <w:kinsoku/>
        <w:wordWrap/>
        <w:overflowPunct/>
        <w:topLinePunct w:val="0"/>
        <w:autoSpaceDE w:val="0"/>
        <w:autoSpaceDN w:val="0"/>
        <w:bidi w:val="0"/>
        <w:adjustRightInd w:val="0"/>
        <w:snapToGrid/>
        <w:spacing w:line="500" w:lineRule="exact"/>
        <w:ind w:firstLine="566" w:firstLineChars="200"/>
        <w:textAlignment w:val="auto"/>
        <w:rPr>
          <w:rFonts w:ascii="宋体" w:hAnsi="宋体"/>
          <w:color w:val="auto"/>
          <w:kern w:val="0"/>
          <w:sz w:val="28"/>
          <w:szCs w:val="28"/>
          <w:highlight w:val="none"/>
        </w:rPr>
      </w:pPr>
      <w:r>
        <w:rPr>
          <w:rFonts w:hint="eastAsia" w:ascii="宋体" w:hAnsi="宋体"/>
          <w:color w:val="auto"/>
          <w:sz w:val="28"/>
          <w:szCs w:val="28"/>
          <w:highlight w:val="none"/>
        </w:rPr>
        <w:t>在此，授权代表宣布同意如下：</w:t>
      </w:r>
    </w:p>
    <w:p w14:paraId="7EF25096">
      <w:pPr>
        <w:pStyle w:val="11"/>
        <w:keepNext w:val="0"/>
        <w:keepLines w:val="0"/>
        <w:pageBreakBefore w:val="0"/>
        <w:widowControl w:val="0"/>
        <w:kinsoku/>
        <w:wordWrap/>
        <w:overflowPunct/>
        <w:topLinePunct w:val="0"/>
        <w:bidi w:val="0"/>
        <w:snapToGrid/>
        <w:spacing w:line="500" w:lineRule="exact"/>
        <w:ind w:firstLine="566" w:firstLineChars="200"/>
        <w:textAlignment w:val="auto"/>
        <w:rPr>
          <w:rFonts w:hAnsi="宋体"/>
          <w:color w:val="auto"/>
          <w:sz w:val="28"/>
          <w:szCs w:val="28"/>
          <w:highlight w:val="none"/>
        </w:rPr>
      </w:pPr>
      <w:r>
        <w:rPr>
          <w:rFonts w:hint="eastAsia" w:hAnsi="宋体"/>
          <w:color w:val="auto"/>
          <w:sz w:val="28"/>
          <w:szCs w:val="28"/>
          <w:highlight w:val="none"/>
        </w:rPr>
        <w:t>1.将按竞争性磋商文件的约定履行合同责任和义务；</w:t>
      </w:r>
    </w:p>
    <w:p w14:paraId="336BDFC0">
      <w:pPr>
        <w:pStyle w:val="11"/>
        <w:keepNext w:val="0"/>
        <w:keepLines w:val="0"/>
        <w:pageBreakBefore w:val="0"/>
        <w:widowControl w:val="0"/>
        <w:kinsoku/>
        <w:wordWrap/>
        <w:overflowPunct/>
        <w:topLinePunct w:val="0"/>
        <w:bidi w:val="0"/>
        <w:snapToGrid/>
        <w:spacing w:line="500" w:lineRule="exact"/>
        <w:ind w:firstLine="566" w:firstLineChars="200"/>
        <w:textAlignment w:val="auto"/>
        <w:rPr>
          <w:rFonts w:hAnsi="宋体"/>
          <w:color w:val="auto"/>
          <w:sz w:val="28"/>
          <w:szCs w:val="28"/>
          <w:highlight w:val="none"/>
        </w:rPr>
      </w:pPr>
      <w:r>
        <w:rPr>
          <w:rFonts w:hint="eastAsia" w:hAnsi="宋体"/>
          <w:color w:val="auto"/>
          <w:sz w:val="28"/>
          <w:szCs w:val="28"/>
          <w:highlight w:val="none"/>
        </w:rPr>
        <w:t>2.已详细审查全部竞争性磋商文件，包括</w:t>
      </w:r>
      <w:r>
        <w:rPr>
          <w:rFonts w:hint="eastAsia" w:hAnsi="宋体"/>
          <w:color w:val="auto"/>
          <w:sz w:val="28"/>
          <w:szCs w:val="28"/>
          <w:highlight w:val="none"/>
          <w:u w:val="single"/>
        </w:rPr>
        <w:t>（补遗书）（如果有的话）</w:t>
      </w:r>
      <w:r>
        <w:rPr>
          <w:rFonts w:hint="eastAsia" w:hAnsi="宋体"/>
          <w:color w:val="auto"/>
          <w:sz w:val="28"/>
          <w:szCs w:val="28"/>
          <w:highlight w:val="none"/>
        </w:rPr>
        <w:t>；我们完全理解并同意放弃对这方面有不明及误解的权力；</w:t>
      </w:r>
    </w:p>
    <w:p w14:paraId="7A7C1ED0">
      <w:pPr>
        <w:pStyle w:val="11"/>
        <w:keepNext w:val="0"/>
        <w:keepLines w:val="0"/>
        <w:pageBreakBefore w:val="0"/>
        <w:widowControl w:val="0"/>
        <w:kinsoku/>
        <w:wordWrap/>
        <w:overflowPunct/>
        <w:topLinePunct w:val="0"/>
        <w:bidi w:val="0"/>
        <w:snapToGrid/>
        <w:spacing w:line="500" w:lineRule="exact"/>
        <w:ind w:firstLine="566" w:firstLineChars="200"/>
        <w:textAlignment w:val="auto"/>
        <w:rPr>
          <w:rFonts w:hAnsi="宋体"/>
          <w:color w:val="auto"/>
          <w:sz w:val="28"/>
          <w:szCs w:val="28"/>
          <w:highlight w:val="none"/>
        </w:rPr>
      </w:pPr>
      <w:r>
        <w:rPr>
          <w:rFonts w:hint="eastAsia" w:hAnsi="宋体"/>
          <w:color w:val="auto"/>
          <w:sz w:val="28"/>
          <w:szCs w:val="28"/>
          <w:highlight w:val="none"/>
        </w:rPr>
        <w:t>3.同意提供按照贵方可能要求的与其磋商有关的一切数据或资料。</w:t>
      </w:r>
    </w:p>
    <w:p w14:paraId="68FB154F">
      <w:pPr>
        <w:pStyle w:val="11"/>
        <w:keepNext w:val="0"/>
        <w:keepLines w:val="0"/>
        <w:pageBreakBefore w:val="0"/>
        <w:widowControl w:val="0"/>
        <w:kinsoku/>
        <w:wordWrap/>
        <w:overflowPunct/>
        <w:topLinePunct w:val="0"/>
        <w:bidi w:val="0"/>
        <w:snapToGrid/>
        <w:spacing w:line="500" w:lineRule="exact"/>
        <w:ind w:firstLine="566" w:firstLineChars="200"/>
        <w:textAlignment w:val="auto"/>
        <w:rPr>
          <w:rFonts w:hAnsi="宋体"/>
          <w:color w:val="auto"/>
          <w:kern w:val="0"/>
          <w:sz w:val="28"/>
          <w:szCs w:val="28"/>
          <w:highlight w:val="none"/>
        </w:rPr>
      </w:pPr>
      <w:r>
        <w:rPr>
          <w:rFonts w:hint="eastAsia" w:hAnsi="宋体"/>
          <w:color w:val="auto"/>
          <w:sz w:val="28"/>
          <w:szCs w:val="28"/>
          <w:highlight w:val="none"/>
        </w:rPr>
        <w:t>4</w:t>
      </w:r>
      <w:r>
        <w:rPr>
          <w:rFonts w:hint="eastAsia" w:hAnsi="宋体"/>
          <w:color w:val="auto"/>
          <w:sz w:val="28"/>
          <w:szCs w:val="28"/>
          <w:highlight w:val="none"/>
          <w:lang w:val="en-US" w:eastAsia="zh-CN"/>
        </w:rPr>
        <w:t>.</w:t>
      </w:r>
      <w:r>
        <w:rPr>
          <w:rFonts w:hint="eastAsia" w:hAnsi="宋体"/>
          <w:color w:val="auto"/>
          <w:kern w:val="0"/>
          <w:sz w:val="28"/>
          <w:szCs w:val="28"/>
          <w:highlight w:val="none"/>
        </w:rPr>
        <w:t>本磋商有效期为自磋商日起共</w:t>
      </w:r>
      <w:r>
        <w:rPr>
          <w:rFonts w:hint="eastAsia" w:hAnsi="宋体"/>
          <w:color w:val="auto"/>
          <w:kern w:val="0"/>
          <w:sz w:val="28"/>
          <w:szCs w:val="28"/>
          <w:highlight w:val="none"/>
          <w:u w:val="single"/>
        </w:rPr>
        <w:t>90</w:t>
      </w:r>
      <w:r>
        <w:rPr>
          <w:rFonts w:hint="eastAsia" w:hAnsi="宋体"/>
          <w:color w:val="auto"/>
          <w:kern w:val="0"/>
          <w:sz w:val="28"/>
          <w:szCs w:val="28"/>
          <w:highlight w:val="none"/>
        </w:rPr>
        <w:t>个日历日。</w:t>
      </w:r>
    </w:p>
    <w:p w14:paraId="0B75EB30">
      <w:pPr>
        <w:pStyle w:val="11"/>
        <w:keepNext w:val="0"/>
        <w:keepLines w:val="0"/>
        <w:pageBreakBefore w:val="0"/>
        <w:widowControl w:val="0"/>
        <w:kinsoku/>
        <w:wordWrap/>
        <w:overflowPunct/>
        <w:topLinePunct w:val="0"/>
        <w:bidi w:val="0"/>
        <w:snapToGrid/>
        <w:spacing w:line="500" w:lineRule="exact"/>
        <w:ind w:firstLine="566" w:firstLineChars="200"/>
        <w:textAlignment w:val="auto"/>
        <w:rPr>
          <w:rFonts w:hAnsi="宋体"/>
          <w:color w:val="auto"/>
          <w:sz w:val="28"/>
          <w:szCs w:val="28"/>
          <w:highlight w:val="none"/>
        </w:rPr>
      </w:pPr>
      <w:r>
        <w:rPr>
          <w:rFonts w:hint="eastAsia" w:hAnsi="宋体"/>
          <w:color w:val="auto"/>
          <w:sz w:val="28"/>
          <w:szCs w:val="28"/>
          <w:highlight w:val="none"/>
        </w:rPr>
        <w:t>5</w:t>
      </w:r>
      <w:r>
        <w:rPr>
          <w:rFonts w:hint="eastAsia" w:hAnsi="宋体"/>
          <w:color w:val="auto"/>
          <w:sz w:val="28"/>
          <w:szCs w:val="28"/>
          <w:highlight w:val="none"/>
          <w:lang w:val="en-US" w:eastAsia="zh-CN"/>
        </w:rPr>
        <w:t>.</w:t>
      </w:r>
      <w:r>
        <w:rPr>
          <w:rFonts w:hint="eastAsia" w:hAnsi="宋体"/>
          <w:color w:val="auto"/>
          <w:kern w:val="0"/>
          <w:sz w:val="28"/>
          <w:szCs w:val="28"/>
          <w:highlight w:val="none"/>
        </w:rPr>
        <w:t>接受磋商文件所列一切要求。</w:t>
      </w:r>
    </w:p>
    <w:p w14:paraId="1BA31F3A">
      <w:pPr>
        <w:pStyle w:val="11"/>
        <w:keepNext w:val="0"/>
        <w:keepLines w:val="0"/>
        <w:pageBreakBefore w:val="0"/>
        <w:widowControl w:val="0"/>
        <w:kinsoku/>
        <w:wordWrap/>
        <w:overflowPunct/>
        <w:topLinePunct w:val="0"/>
        <w:bidi w:val="0"/>
        <w:snapToGrid/>
        <w:spacing w:line="500" w:lineRule="exact"/>
        <w:ind w:firstLine="566" w:firstLineChars="200"/>
        <w:textAlignment w:val="auto"/>
        <w:rPr>
          <w:rFonts w:hAnsi="宋体"/>
          <w:color w:val="auto"/>
          <w:sz w:val="28"/>
          <w:szCs w:val="28"/>
          <w:highlight w:val="none"/>
          <w:u w:val="single"/>
        </w:rPr>
      </w:pPr>
      <w:r>
        <w:rPr>
          <w:rFonts w:hint="eastAsia" w:hAnsi="宋体"/>
          <w:color w:val="auto"/>
          <w:sz w:val="28"/>
          <w:szCs w:val="28"/>
          <w:highlight w:val="none"/>
        </w:rPr>
        <w:t>6</w:t>
      </w:r>
      <w:r>
        <w:rPr>
          <w:rFonts w:hint="eastAsia" w:hAnsi="宋体"/>
          <w:color w:val="auto"/>
          <w:sz w:val="28"/>
          <w:szCs w:val="28"/>
          <w:highlight w:val="none"/>
          <w:lang w:val="en-US" w:eastAsia="zh-CN"/>
        </w:rPr>
        <w:t>.</w:t>
      </w:r>
      <w:r>
        <w:rPr>
          <w:rFonts w:hint="eastAsia" w:hAnsi="宋体"/>
          <w:color w:val="auto"/>
          <w:sz w:val="28"/>
          <w:szCs w:val="28"/>
          <w:highlight w:val="none"/>
        </w:rPr>
        <w:t>与本磋商有关的一切正式往来信函请寄：</w:t>
      </w:r>
      <w:r>
        <w:rPr>
          <w:rFonts w:hint="eastAsia" w:hAnsi="宋体"/>
          <w:color w:val="auto"/>
          <w:sz w:val="28"/>
          <w:szCs w:val="28"/>
          <w:highlight w:val="none"/>
          <w:u w:val="single"/>
        </w:rPr>
        <w:t xml:space="preserve">             </w:t>
      </w:r>
    </w:p>
    <w:p w14:paraId="1AA4400A">
      <w:pPr>
        <w:pStyle w:val="11"/>
        <w:keepNext w:val="0"/>
        <w:keepLines w:val="0"/>
        <w:pageBreakBefore w:val="0"/>
        <w:widowControl w:val="0"/>
        <w:kinsoku/>
        <w:wordWrap/>
        <w:overflowPunct/>
        <w:topLinePunct w:val="0"/>
        <w:bidi w:val="0"/>
        <w:snapToGrid/>
        <w:spacing w:line="500" w:lineRule="exact"/>
        <w:ind w:firstLine="566" w:firstLineChars="200"/>
        <w:textAlignment w:val="auto"/>
        <w:rPr>
          <w:rFonts w:hint="eastAsia" w:hAnsi="宋体"/>
          <w:color w:val="auto"/>
          <w:sz w:val="28"/>
          <w:szCs w:val="28"/>
          <w:highlight w:val="none"/>
        </w:rPr>
      </w:pPr>
    </w:p>
    <w:p w14:paraId="55572073">
      <w:pPr>
        <w:pStyle w:val="11"/>
        <w:keepNext w:val="0"/>
        <w:keepLines w:val="0"/>
        <w:pageBreakBefore w:val="0"/>
        <w:widowControl w:val="0"/>
        <w:kinsoku/>
        <w:wordWrap/>
        <w:overflowPunct/>
        <w:topLinePunct w:val="0"/>
        <w:bidi w:val="0"/>
        <w:snapToGrid/>
        <w:spacing w:line="500" w:lineRule="exact"/>
        <w:ind w:firstLine="566" w:firstLineChars="200"/>
        <w:textAlignment w:val="auto"/>
        <w:rPr>
          <w:rFonts w:hAnsi="宋体"/>
          <w:color w:val="auto"/>
          <w:sz w:val="28"/>
          <w:szCs w:val="28"/>
          <w:highlight w:val="none"/>
          <w:u w:val="single"/>
        </w:rPr>
      </w:pPr>
      <w:r>
        <w:rPr>
          <w:rFonts w:hint="eastAsia" w:hAnsi="宋体"/>
          <w:color w:val="auto"/>
          <w:sz w:val="28"/>
          <w:szCs w:val="28"/>
          <w:highlight w:val="none"/>
        </w:rPr>
        <w:t>电话/传真：</w:t>
      </w:r>
      <w:r>
        <w:rPr>
          <w:rFonts w:hint="eastAsia" w:hAnsi="宋体"/>
          <w:color w:val="auto"/>
          <w:sz w:val="28"/>
          <w:szCs w:val="28"/>
          <w:highlight w:val="none"/>
          <w:u w:val="single"/>
        </w:rPr>
        <w:t xml:space="preserve">                     </w:t>
      </w:r>
      <w:r>
        <w:rPr>
          <w:rFonts w:hint="eastAsia" w:hAnsi="宋体"/>
          <w:color w:val="auto"/>
          <w:sz w:val="28"/>
          <w:szCs w:val="28"/>
          <w:highlight w:val="none"/>
        </w:rPr>
        <w:t xml:space="preserve">  电子函件：</w:t>
      </w:r>
      <w:r>
        <w:rPr>
          <w:rFonts w:hint="eastAsia" w:hAnsi="宋体"/>
          <w:color w:val="auto"/>
          <w:sz w:val="28"/>
          <w:szCs w:val="28"/>
          <w:highlight w:val="none"/>
          <w:u w:val="single"/>
        </w:rPr>
        <w:t xml:space="preserve">          </w:t>
      </w:r>
    </w:p>
    <w:p w14:paraId="19F439C3">
      <w:pPr>
        <w:pStyle w:val="11"/>
        <w:keepNext w:val="0"/>
        <w:keepLines w:val="0"/>
        <w:pageBreakBefore w:val="0"/>
        <w:widowControl w:val="0"/>
        <w:kinsoku/>
        <w:wordWrap/>
        <w:overflowPunct/>
        <w:topLinePunct w:val="0"/>
        <w:bidi w:val="0"/>
        <w:snapToGrid/>
        <w:spacing w:line="500" w:lineRule="exact"/>
        <w:ind w:firstLine="624" w:firstLineChars="221"/>
        <w:textAlignment w:val="auto"/>
        <w:rPr>
          <w:rFonts w:hint="eastAsia" w:hAnsi="宋体"/>
          <w:color w:val="auto"/>
          <w:sz w:val="28"/>
          <w:szCs w:val="28"/>
          <w:highlight w:val="none"/>
        </w:rPr>
      </w:pPr>
      <w:r>
        <w:rPr>
          <w:rFonts w:hint="eastAsia" w:hAnsi="宋体"/>
          <w:color w:val="auto"/>
          <w:sz w:val="28"/>
          <w:szCs w:val="28"/>
          <w:highlight w:val="none"/>
        </w:rPr>
        <w:t>供应商名称（</w:t>
      </w:r>
      <w:r>
        <w:rPr>
          <w:rFonts w:hint="eastAsia" w:hAnsi="宋体"/>
          <w:color w:val="auto"/>
          <w:sz w:val="28"/>
          <w:szCs w:val="28"/>
          <w:highlight w:val="none"/>
          <w:lang w:eastAsia="zh-CN"/>
        </w:rPr>
        <w:t>盖章</w:t>
      </w:r>
      <w:r>
        <w:rPr>
          <w:rFonts w:hint="eastAsia" w:hAnsi="宋体"/>
          <w:color w:val="auto"/>
          <w:sz w:val="28"/>
          <w:szCs w:val="28"/>
          <w:highlight w:val="none"/>
        </w:rPr>
        <w:t xml:space="preserve">）：           </w:t>
      </w:r>
    </w:p>
    <w:p w14:paraId="37A5865A">
      <w:pPr>
        <w:pStyle w:val="11"/>
        <w:keepNext w:val="0"/>
        <w:keepLines w:val="0"/>
        <w:pageBreakBefore w:val="0"/>
        <w:widowControl w:val="0"/>
        <w:kinsoku/>
        <w:wordWrap/>
        <w:overflowPunct/>
        <w:topLinePunct w:val="0"/>
        <w:bidi w:val="0"/>
        <w:snapToGrid/>
        <w:spacing w:line="500" w:lineRule="exact"/>
        <w:ind w:firstLine="624" w:firstLineChars="221"/>
        <w:textAlignment w:val="auto"/>
        <w:rPr>
          <w:rFonts w:hint="eastAsia" w:hAnsi="宋体"/>
          <w:color w:val="auto"/>
          <w:sz w:val="28"/>
          <w:szCs w:val="28"/>
          <w:highlight w:val="none"/>
          <w:u w:val="single"/>
        </w:rPr>
      </w:pPr>
      <w:r>
        <w:rPr>
          <w:rFonts w:hint="eastAsia" w:hAnsi="宋体"/>
          <w:color w:val="auto"/>
          <w:sz w:val="28"/>
          <w:szCs w:val="28"/>
          <w:highlight w:val="none"/>
        </w:rPr>
        <w:t>供应商法定代表人（</w:t>
      </w:r>
      <w:r>
        <w:rPr>
          <w:rFonts w:hint="eastAsia" w:hAnsi="宋体"/>
          <w:color w:val="auto"/>
          <w:sz w:val="28"/>
          <w:szCs w:val="28"/>
          <w:highlight w:val="none"/>
          <w:lang w:eastAsia="zh-CN"/>
        </w:rPr>
        <w:t>盖章或签字</w:t>
      </w:r>
      <w:r>
        <w:rPr>
          <w:rFonts w:hint="eastAsia" w:hAnsi="宋体"/>
          <w:color w:val="auto"/>
          <w:sz w:val="28"/>
          <w:szCs w:val="28"/>
          <w:highlight w:val="none"/>
        </w:rPr>
        <w:t>）：</w:t>
      </w:r>
      <w:r>
        <w:rPr>
          <w:rFonts w:hint="eastAsia" w:hAnsi="宋体"/>
          <w:color w:val="auto"/>
          <w:sz w:val="28"/>
          <w:szCs w:val="28"/>
          <w:highlight w:val="none"/>
          <w:u w:val="single"/>
        </w:rPr>
        <w:t xml:space="preserve"> </w:t>
      </w:r>
    </w:p>
    <w:p w14:paraId="236F7346">
      <w:pPr>
        <w:pStyle w:val="11"/>
        <w:keepNext w:val="0"/>
        <w:keepLines w:val="0"/>
        <w:pageBreakBefore w:val="0"/>
        <w:widowControl w:val="0"/>
        <w:kinsoku/>
        <w:wordWrap/>
        <w:overflowPunct/>
        <w:topLinePunct w:val="0"/>
        <w:bidi w:val="0"/>
        <w:snapToGrid/>
        <w:spacing w:line="500" w:lineRule="exact"/>
        <w:ind w:firstLine="624" w:firstLineChars="221"/>
        <w:textAlignment w:val="auto"/>
        <w:rPr>
          <w:rFonts w:hAnsi="宋体"/>
          <w:color w:val="auto"/>
          <w:sz w:val="28"/>
          <w:szCs w:val="28"/>
          <w:highlight w:val="none"/>
          <w:u w:val="single"/>
        </w:rPr>
      </w:pPr>
      <w:r>
        <w:rPr>
          <w:rFonts w:hint="eastAsia" w:hAnsi="宋体"/>
          <w:color w:val="auto"/>
          <w:sz w:val="28"/>
          <w:szCs w:val="28"/>
          <w:highlight w:val="none"/>
        </w:rPr>
        <w:t>日期：</w:t>
      </w:r>
      <w:r>
        <w:rPr>
          <w:rFonts w:hint="eastAsia" w:hAnsi="宋体"/>
          <w:color w:val="auto"/>
          <w:sz w:val="28"/>
          <w:szCs w:val="28"/>
          <w:highlight w:val="none"/>
          <w:u w:val="single"/>
        </w:rPr>
        <w:t xml:space="preserve">      </w:t>
      </w:r>
      <w:r>
        <w:rPr>
          <w:rFonts w:hint="eastAsia" w:hAnsi="宋体"/>
          <w:color w:val="auto"/>
          <w:sz w:val="28"/>
          <w:szCs w:val="28"/>
          <w:highlight w:val="none"/>
        </w:rPr>
        <w:t>年</w:t>
      </w:r>
      <w:r>
        <w:rPr>
          <w:rFonts w:hint="eastAsia" w:hAnsi="宋体"/>
          <w:color w:val="auto"/>
          <w:sz w:val="28"/>
          <w:szCs w:val="28"/>
          <w:highlight w:val="none"/>
          <w:u w:val="single"/>
        </w:rPr>
        <w:t xml:space="preserve">   </w:t>
      </w:r>
      <w:r>
        <w:rPr>
          <w:rFonts w:hint="eastAsia" w:hAnsi="宋体"/>
          <w:color w:val="auto"/>
          <w:sz w:val="28"/>
          <w:szCs w:val="28"/>
          <w:highlight w:val="none"/>
        </w:rPr>
        <w:t>月</w:t>
      </w:r>
      <w:r>
        <w:rPr>
          <w:rFonts w:hint="eastAsia" w:hAnsi="宋体"/>
          <w:color w:val="auto"/>
          <w:sz w:val="28"/>
          <w:szCs w:val="28"/>
          <w:highlight w:val="none"/>
          <w:u w:val="single"/>
        </w:rPr>
        <w:t xml:space="preserve">    </w:t>
      </w:r>
      <w:r>
        <w:rPr>
          <w:rFonts w:hint="eastAsia" w:hAnsi="宋体"/>
          <w:color w:val="auto"/>
          <w:sz w:val="28"/>
          <w:szCs w:val="28"/>
          <w:highlight w:val="none"/>
        </w:rPr>
        <w:t>日</w:t>
      </w:r>
    </w:p>
    <w:p w14:paraId="758217FB">
      <w:pPr>
        <w:adjustRightInd w:val="0"/>
        <w:snapToGrid w:val="0"/>
        <w:spacing w:line="500" w:lineRule="exact"/>
        <w:jc w:val="center"/>
        <w:outlineLvl w:val="1"/>
        <w:rPr>
          <w:rFonts w:hint="eastAsia" w:ascii="宋体" w:hAnsi="宋体"/>
          <w:b/>
          <w:color w:val="auto"/>
          <w:sz w:val="36"/>
          <w:szCs w:val="36"/>
          <w:highlight w:val="none"/>
        </w:rPr>
        <w:sectPr>
          <w:pgSz w:w="11906" w:h="16838"/>
          <w:pgMar w:top="1134" w:right="1134" w:bottom="1134" w:left="1134" w:header="851" w:footer="992" w:gutter="0"/>
          <w:cols w:space="720" w:num="1"/>
          <w:titlePg/>
          <w:docGrid w:type="linesAndChars" w:linePitch="312" w:charSpace="735"/>
        </w:sectPr>
      </w:pPr>
    </w:p>
    <w:p w14:paraId="0C5AAAB3">
      <w:pPr>
        <w:adjustRightInd w:val="0"/>
        <w:snapToGrid w:val="0"/>
        <w:spacing w:line="500" w:lineRule="exact"/>
        <w:jc w:val="center"/>
        <w:outlineLvl w:val="1"/>
        <w:rPr>
          <w:rFonts w:ascii="宋体" w:hAnsi="宋体"/>
          <w:b/>
          <w:color w:val="auto"/>
          <w:sz w:val="32"/>
          <w:szCs w:val="32"/>
          <w:highlight w:val="none"/>
        </w:rPr>
      </w:pPr>
      <w:bookmarkStart w:id="117" w:name="_Toc13562"/>
      <w:r>
        <w:rPr>
          <w:rFonts w:hint="eastAsia" w:ascii="宋体" w:hAnsi="宋体"/>
          <w:b/>
          <w:color w:val="auto"/>
          <w:sz w:val="36"/>
          <w:szCs w:val="36"/>
          <w:highlight w:val="none"/>
        </w:rPr>
        <w:t>法定代表人资格证明文件</w:t>
      </w:r>
      <w:bookmarkEnd w:id="116"/>
      <w:bookmarkEnd w:id="117"/>
      <w:r>
        <w:rPr>
          <w:rFonts w:hint="eastAsia" w:ascii="宋体" w:hAnsi="宋体"/>
          <w:b/>
          <w:color w:val="auto"/>
          <w:sz w:val="32"/>
          <w:szCs w:val="32"/>
          <w:highlight w:val="none"/>
        </w:rPr>
        <w:t xml:space="preserve"> </w:t>
      </w:r>
    </w:p>
    <w:p w14:paraId="786CD1A5">
      <w:pPr>
        <w:pStyle w:val="11"/>
        <w:keepNext w:val="0"/>
        <w:keepLines w:val="0"/>
        <w:pageBreakBefore w:val="0"/>
        <w:widowControl w:val="0"/>
        <w:kinsoku/>
        <w:wordWrap/>
        <w:overflowPunct/>
        <w:topLinePunct w:val="0"/>
        <w:autoSpaceDE/>
        <w:autoSpaceDN/>
        <w:bidi w:val="0"/>
        <w:spacing w:line="500" w:lineRule="exact"/>
        <w:textAlignment w:val="auto"/>
        <w:rPr>
          <w:rFonts w:hAnsi="宋体"/>
          <w:color w:val="auto"/>
          <w:sz w:val="28"/>
          <w:szCs w:val="28"/>
          <w:highlight w:val="none"/>
          <w:u w:val="single"/>
        </w:rPr>
      </w:pPr>
      <w:r>
        <w:rPr>
          <w:rFonts w:hint="eastAsia" w:hAnsi="宋体"/>
          <w:color w:val="auto"/>
          <w:sz w:val="28"/>
          <w:szCs w:val="28"/>
          <w:highlight w:val="none"/>
          <w:u w:val="single"/>
        </w:rPr>
        <w:t>（代理机构）：</w:t>
      </w:r>
    </w:p>
    <w:p w14:paraId="24947DC3">
      <w:pPr>
        <w:keepNext w:val="0"/>
        <w:keepLines w:val="0"/>
        <w:pageBreakBefore w:val="0"/>
        <w:widowControl w:val="0"/>
        <w:kinsoku/>
        <w:wordWrap/>
        <w:overflowPunct/>
        <w:topLinePunct w:val="0"/>
        <w:autoSpaceDE/>
        <w:autoSpaceDN/>
        <w:bidi w:val="0"/>
        <w:adjustRightInd w:val="0"/>
        <w:snapToGrid w:val="0"/>
        <w:spacing w:line="500" w:lineRule="exact"/>
        <w:ind w:firstLine="980" w:firstLineChars="350"/>
        <w:textAlignment w:val="auto"/>
        <w:rPr>
          <w:rFonts w:ascii="宋体" w:hAnsi="宋体"/>
          <w:color w:val="auto"/>
          <w:sz w:val="28"/>
          <w:szCs w:val="28"/>
          <w:highlight w:val="none"/>
        </w:rPr>
      </w:pPr>
      <w:r>
        <w:rPr>
          <w:rFonts w:hint="eastAsia" w:ascii="宋体" w:hAnsi="宋体"/>
          <w:color w:val="auto"/>
          <w:sz w:val="28"/>
          <w:szCs w:val="28"/>
          <w:highlight w:val="none"/>
        </w:rPr>
        <w:t>兹有</w:t>
      </w:r>
      <w:r>
        <w:rPr>
          <w:rFonts w:hint="eastAsia" w:ascii="宋体" w:hAnsi="宋体"/>
          <w:color w:val="auto"/>
          <w:sz w:val="28"/>
          <w:szCs w:val="28"/>
          <w:highlight w:val="none"/>
          <w:u w:val="single"/>
        </w:rPr>
        <w:t xml:space="preserve">          </w:t>
      </w:r>
      <w:r>
        <w:rPr>
          <w:rFonts w:hint="eastAsia" w:ascii="宋体" w:hAnsi="宋体"/>
          <w:color w:val="auto"/>
          <w:sz w:val="28"/>
          <w:szCs w:val="28"/>
          <w:highlight w:val="none"/>
        </w:rPr>
        <w:t>同志为</w:t>
      </w:r>
      <w:r>
        <w:rPr>
          <w:rFonts w:hint="eastAsia" w:ascii="宋体" w:hAnsi="宋体"/>
          <w:color w:val="auto"/>
          <w:sz w:val="28"/>
          <w:szCs w:val="28"/>
          <w:highlight w:val="none"/>
          <w:u w:val="single"/>
        </w:rPr>
        <w:t xml:space="preserve">             </w:t>
      </w:r>
      <w:r>
        <w:rPr>
          <w:rFonts w:hint="eastAsia" w:ascii="宋体" w:hAnsi="宋体"/>
          <w:color w:val="auto"/>
          <w:sz w:val="28"/>
          <w:szCs w:val="28"/>
          <w:highlight w:val="none"/>
        </w:rPr>
        <w:t xml:space="preserve">公司法定代表人，代表我公司办理一切社会公务事宜，具有法律效力。 </w:t>
      </w:r>
    </w:p>
    <w:p w14:paraId="7E853AF3">
      <w:pPr>
        <w:keepNext w:val="0"/>
        <w:keepLines w:val="0"/>
        <w:pageBreakBefore w:val="0"/>
        <w:widowControl w:val="0"/>
        <w:kinsoku/>
        <w:wordWrap/>
        <w:overflowPunct/>
        <w:topLinePunct w:val="0"/>
        <w:autoSpaceDE/>
        <w:autoSpaceDN/>
        <w:bidi w:val="0"/>
        <w:adjustRightInd w:val="0"/>
        <w:snapToGrid w:val="0"/>
        <w:spacing w:line="500" w:lineRule="exact"/>
        <w:ind w:firstLine="840" w:firstLineChars="300"/>
        <w:textAlignment w:val="auto"/>
        <w:rPr>
          <w:rFonts w:ascii="宋体" w:hAnsi="宋体"/>
          <w:color w:val="auto"/>
          <w:sz w:val="28"/>
          <w:szCs w:val="28"/>
          <w:highlight w:val="none"/>
        </w:rPr>
      </w:pPr>
      <w:r>
        <w:rPr>
          <w:rFonts w:hint="eastAsia" w:ascii="宋体" w:hAnsi="宋体"/>
          <w:color w:val="auto"/>
          <w:sz w:val="28"/>
          <w:szCs w:val="28"/>
          <w:highlight w:val="none"/>
        </w:rPr>
        <w:t xml:space="preserve">附法定代表人基本情况： </w:t>
      </w:r>
    </w:p>
    <w:p w14:paraId="313A85C1">
      <w:pPr>
        <w:keepNext w:val="0"/>
        <w:keepLines w:val="0"/>
        <w:pageBreakBefore w:val="0"/>
        <w:widowControl w:val="0"/>
        <w:kinsoku/>
        <w:wordWrap/>
        <w:overflowPunct/>
        <w:topLinePunct w:val="0"/>
        <w:autoSpaceDE/>
        <w:autoSpaceDN/>
        <w:bidi w:val="0"/>
        <w:adjustRightInd w:val="0"/>
        <w:snapToGrid w:val="0"/>
        <w:spacing w:line="500" w:lineRule="exact"/>
        <w:ind w:firstLine="840" w:firstLineChars="300"/>
        <w:textAlignment w:val="auto"/>
        <w:rPr>
          <w:rFonts w:ascii="宋体" w:hAnsi="宋体"/>
          <w:color w:val="auto"/>
          <w:sz w:val="28"/>
          <w:szCs w:val="28"/>
          <w:highlight w:val="none"/>
          <w:u w:val="single"/>
        </w:rPr>
      </w:pPr>
      <w:r>
        <w:rPr>
          <w:rFonts w:hint="eastAsia" w:ascii="宋体" w:hAnsi="宋体"/>
          <w:color w:val="auto"/>
          <w:sz w:val="28"/>
          <w:szCs w:val="28"/>
          <w:highlight w:val="none"/>
        </w:rPr>
        <w:t>姓名：</w:t>
      </w:r>
      <w:r>
        <w:rPr>
          <w:rFonts w:hint="eastAsia" w:ascii="宋体" w:hAnsi="宋体"/>
          <w:color w:val="auto"/>
          <w:sz w:val="28"/>
          <w:szCs w:val="28"/>
          <w:highlight w:val="none"/>
          <w:u w:val="single"/>
        </w:rPr>
        <w:t xml:space="preserve">          </w:t>
      </w:r>
      <w:r>
        <w:rPr>
          <w:rFonts w:hint="eastAsia" w:ascii="宋体" w:hAnsi="宋体"/>
          <w:color w:val="auto"/>
          <w:sz w:val="28"/>
          <w:szCs w:val="28"/>
          <w:highlight w:val="none"/>
        </w:rPr>
        <w:t>性别：</w:t>
      </w:r>
      <w:r>
        <w:rPr>
          <w:rFonts w:hint="eastAsia" w:ascii="宋体" w:hAnsi="宋体"/>
          <w:color w:val="auto"/>
          <w:sz w:val="28"/>
          <w:szCs w:val="28"/>
          <w:highlight w:val="none"/>
          <w:u w:val="single"/>
        </w:rPr>
        <w:t xml:space="preserve">     </w:t>
      </w:r>
      <w:r>
        <w:rPr>
          <w:rFonts w:hint="eastAsia" w:ascii="宋体" w:hAnsi="宋体"/>
          <w:color w:val="auto"/>
          <w:sz w:val="28"/>
          <w:szCs w:val="28"/>
          <w:highlight w:val="none"/>
        </w:rPr>
        <w:t>年龄：</w:t>
      </w:r>
      <w:r>
        <w:rPr>
          <w:rFonts w:hint="eastAsia" w:ascii="宋体" w:hAnsi="宋体"/>
          <w:color w:val="auto"/>
          <w:sz w:val="28"/>
          <w:szCs w:val="28"/>
          <w:highlight w:val="none"/>
          <w:u w:val="single"/>
        </w:rPr>
        <w:t xml:space="preserve">     </w:t>
      </w:r>
      <w:r>
        <w:rPr>
          <w:rFonts w:hint="eastAsia" w:ascii="宋体" w:hAnsi="宋体"/>
          <w:color w:val="auto"/>
          <w:sz w:val="28"/>
          <w:szCs w:val="28"/>
          <w:highlight w:val="none"/>
        </w:rPr>
        <w:t>职务：</w:t>
      </w:r>
      <w:r>
        <w:rPr>
          <w:rFonts w:hint="eastAsia" w:ascii="宋体" w:hAnsi="宋体"/>
          <w:color w:val="auto"/>
          <w:sz w:val="28"/>
          <w:szCs w:val="28"/>
          <w:highlight w:val="none"/>
          <w:u w:val="single"/>
        </w:rPr>
        <w:t xml:space="preserve">         </w:t>
      </w:r>
    </w:p>
    <w:p w14:paraId="4343FC23">
      <w:pPr>
        <w:keepNext w:val="0"/>
        <w:keepLines w:val="0"/>
        <w:pageBreakBefore w:val="0"/>
        <w:widowControl w:val="0"/>
        <w:kinsoku/>
        <w:wordWrap/>
        <w:overflowPunct/>
        <w:topLinePunct w:val="0"/>
        <w:autoSpaceDE/>
        <w:autoSpaceDN/>
        <w:bidi w:val="0"/>
        <w:adjustRightInd w:val="0"/>
        <w:snapToGrid w:val="0"/>
        <w:spacing w:line="500" w:lineRule="exact"/>
        <w:ind w:firstLine="840" w:firstLineChars="300"/>
        <w:textAlignment w:val="auto"/>
        <w:rPr>
          <w:rFonts w:ascii="宋体" w:hAnsi="宋体"/>
          <w:color w:val="auto"/>
          <w:sz w:val="28"/>
          <w:szCs w:val="28"/>
          <w:highlight w:val="none"/>
        </w:rPr>
      </w:pPr>
      <w:r>
        <w:rPr>
          <w:rFonts w:hint="eastAsia" w:ascii="宋体" w:hAnsi="宋体"/>
          <w:color w:val="auto"/>
          <w:sz w:val="28"/>
          <w:szCs w:val="28"/>
          <w:highlight w:val="none"/>
        </w:rPr>
        <w:t>身份证号码：</w:t>
      </w:r>
      <w:r>
        <w:rPr>
          <w:rFonts w:hint="eastAsia" w:ascii="宋体" w:hAnsi="宋体"/>
          <w:color w:val="auto"/>
          <w:sz w:val="28"/>
          <w:szCs w:val="28"/>
          <w:highlight w:val="none"/>
          <w:u w:val="single"/>
        </w:rPr>
        <w:t xml:space="preserve">                     </w:t>
      </w:r>
    </w:p>
    <w:p w14:paraId="1E6F240D">
      <w:pPr>
        <w:keepNext w:val="0"/>
        <w:keepLines w:val="0"/>
        <w:pageBreakBefore w:val="0"/>
        <w:widowControl w:val="0"/>
        <w:kinsoku/>
        <w:wordWrap/>
        <w:overflowPunct/>
        <w:topLinePunct w:val="0"/>
        <w:autoSpaceDE/>
        <w:autoSpaceDN/>
        <w:bidi w:val="0"/>
        <w:adjustRightInd w:val="0"/>
        <w:snapToGrid w:val="0"/>
        <w:spacing w:line="500" w:lineRule="exact"/>
        <w:ind w:firstLine="840" w:firstLineChars="300"/>
        <w:textAlignment w:val="auto"/>
        <w:rPr>
          <w:rFonts w:ascii="宋体" w:hAnsi="宋体"/>
          <w:color w:val="auto"/>
          <w:sz w:val="28"/>
          <w:szCs w:val="28"/>
          <w:highlight w:val="none"/>
        </w:rPr>
      </w:pPr>
      <w:r>
        <w:rPr>
          <w:rFonts w:hint="eastAsia" w:ascii="宋体" w:hAnsi="宋体"/>
          <w:color w:val="auto"/>
          <w:sz w:val="28"/>
          <w:szCs w:val="28"/>
          <w:highlight w:val="none"/>
        </w:rPr>
        <w:t>通讯地址：</w:t>
      </w:r>
      <w:r>
        <w:rPr>
          <w:rFonts w:hint="eastAsia" w:ascii="宋体" w:hAnsi="宋体"/>
          <w:color w:val="auto"/>
          <w:sz w:val="28"/>
          <w:szCs w:val="28"/>
          <w:highlight w:val="none"/>
          <w:u w:val="single"/>
        </w:rPr>
        <w:t xml:space="preserve">                       </w:t>
      </w:r>
    </w:p>
    <w:p w14:paraId="55E013DD">
      <w:pPr>
        <w:keepNext w:val="0"/>
        <w:keepLines w:val="0"/>
        <w:pageBreakBefore w:val="0"/>
        <w:widowControl w:val="0"/>
        <w:kinsoku/>
        <w:wordWrap/>
        <w:overflowPunct/>
        <w:topLinePunct w:val="0"/>
        <w:autoSpaceDE/>
        <w:autoSpaceDN/>
        <w:bidi w:val="0"/>
        <w:adjustRightInd w:val="0"/>
        <w:snapToGrid w:val="0"/>
        <w:spacing w:line="500" w:lineRule="exact"/>
        <w:ind w:firstLine="840" w:firstLineChars="300"/>
        <w:textAlignment w:val="auto"/>
        <w:rPr>
          <w:rFonts w:ascii="宋体" w:hAnsi="宋体"/>
          <w:color w:val="auto"/>
          <w:sz w:val="28"/>
          <w:szCs w:val="28"/>
          <w:highlight w:val="none"/>
        </w:rPr>
      </w:pPr>
      <w:r>
        <w:rPr>
          <w:rFonts w:hint="eastAsia" w:ascii="宋体" w:hAnsi="宋体"/>
          <w:color w:val="auto"/>
          <w:sz w:val="28"/>
          <w:szCs w:val="28"/>
          <w:highlight w:val="none"/>
        </w:rPr>
        <w:t>电话号码：</w:t>
      </w:r>
      <w:r>
        <w:rPr>
          <w:rFonts w:hint="eastAsia" w:ascii="宋体" w:hAnsi="宋体"/>
          <w:color w:val="auto"/>
          <w:sz w:val="28"/>
          <w:szCs w:val="28"/>
          <w:highlight w:val="none"/>
          <w:u w:val="single"/>
        </w:rPr>
        <w:t xml:space="preserve">                   </w:t>
      </w:r>
      <w:r>
        <w:rPr>
          <w:rFonts w:hint="eastAsia" w:ascii="宋体" w:hAnsi="宋体"/>
          <w:color w:val="auto"/>
          <w:sz w:val="28"/>
          <w:szCs w:val="28"/>
          <w:highlight w:val="none"/>
        </w:rPr>
        <w:t>邮政编码：</w:t>
      </w:r>
      <w:r>
        <w:rPr>
          <w:rFonts w:hint="eastAsia" w:ascii="宋体" w:hAnsi="宋体"/>
          <w:color w:val="auto"/>
          <w:sz w:val="28"/>
          <w:szCs w:val="28"/>
          <w:highlight w:val="none"/>
          <w:u w:val="single"/>
        </w:rPr>
        <w:t xml:space="preserve">               </w:t>
      </w:r>
    </w:p>
    <w:p w14:paraId="740E6B93">
      <w:pPr>
        <w:adjustRightInd w:val="0"/>
        <w:snapToGrid w:val="0"/>
        <w:spacing w:line="500" w:lineRule="exact"/>
        <w:rPr>
          <w:rFonts w:ascii="宋体" w:hAnsi="宋体"/>
          <w:color w:val="auto"/>
          <w:sz w:val="28"/>
          <w:szCs w:val="28"/>
          <w:highlight w:val="none"/>
        </w:rPr>
      </w:pPr>
      <w:r>
        <w:rPr>
          <w:rFonts w:hint="eastAsia" w:ascii="宋体" w:hAnsi="宋体"/>
          <w:color w:val="auto"/>
          <w:sz w:val="28"/>
          <w:szCs w:val="28"/>
          <w:highlight w:val="none"/>
        </w:rPr>
        <w:t xml:space="preserve"> </w:t>
      </w:r>
    </w:p>
    <w:tbl>
      <w:tblPr>
        <w:tblStyle w:val="16"/>
        <w:tblW w:w="0" w:type="auto"/>
        <w:tblInd w:w="138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4"/>
      </w:tblGrid>
      <w:tr w14:paraId="226F07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8" w:hRule="atLeast"/>
        </w:trPr>
        <w:tc>
          <w:tcPr>
            <w:tcW w:w="6804" w:type="dxa"/>
            <w:tcBorders>
              <w:top w:val="single" w:color="auto" w:sz="4" w:space="0"/>
              <w:left w:val="single" w:color="auto" w:sz="4" w:space="0"/>
              <w:bottom w:val="single" w:color="auto" w:sz="4" w:space="0"/>
              <w:right w:val="single" w:color="auto" w:sz="4" w:space="0"/>
            </w:tcBorders>
            <w:noWrap w:val="0"/>
            <w:vAlign w:val="top"/>
          </w:tcPr>
          <w:p w14:paraId="5FBDB4D8">
            <w:pPr>
              <w:adjustRightInd w:val="0"/>
              <w:snapToGrid w:val="0"/>
              <w:spacing w:line="500" w:lineRule="exact"/>
              <w:jc w:val="center"/>
              <w:rPr>
                <w:rFonts w:ascii="宋体" w:hAnsi="宋体"/>
                <w:color w:val="auto"/>
                <w:sz w:val="28"/>
                <w:szCs w:val="28"/>
                <w:highlight w:val="none"/>
              </w:rPr>
            </w:pPr>
          </w:p>
          <w:p w14:paraId="6B86882C">
            <w:pPr>
              <w:adjustRightInd w:val="0"/>
              <w:snapToGrid w:val="0"/>
              <w:spacing w:line="500" w:lineRule="exact"/>
              <w:jc w:val="center"/>
              <w:rPr>
                <w:rFonts w:ascii="宋体" w:hAnsi="宋体"/>
                <w:color w:val="auto"/>
                <w:sz w:val="28"/>
                <w:szCs w:val="28"/>
                <w:highlight w:val="none"/>
              </w:rPr>
            </w:pPr>
          </w:p>
          <w:p w14:paraId="23F4E69E">
            <w:pPr>
              <w:adjustRightInd w:val="0"/>
              <w:snapToGrid w:val="0"/>
              <w:spacing w:line="500" w:lineRule="exact"/>
              <w:jc w:val="center"/>
              <w:rPr>
                <w:rFonts w:ascii="宋体" w:hAnsi="宋体"/>
                <w:color w:val="auto"/>
                <w:sz w:val="28"/>
                <w:szCs w:val="28"/>
                <w:highlight w:val="none"/>
              </w:rPr>
            </w:pPr>
            <w:r>
              <w:rPr>
                <w:rFonts w:hint="eastAsia" w:ascii="宋体" w:hAnsi="宋体"/>
                <w:color w:val="auto"/>
                <w:sz w:val="28"/>
                <w:szCs w:val="28"/>
                <w:highlight w:val="none"/>
              </w:rPr>
              <w:t>法定代表人《居民身份证》扫描件</w:t>
            </w:r>
          </w:p>
        </w:tc>
      </w:tr>
    </w:tbl>
    <w:p w14:paraId="3BC919F5">
      <w:pPr>
        <w:adjustRightInd w:val="0"/>
        <w:snapToGrid w:val="0"/>
        <w:spacing w:line="500" w:lineRule="exact"/>
        <w:rPr>
          <w:rFonts w:ascii="宋体" w:hAnsi="宋体"/>
          <w:color w:val="auto"/>
          <w:sz w:val="28"/>
          <w:szCs w:val="28"/>
          <w:highlight w:val="none"/>
        </w:rPr>
      </w:pPr>
    </w:p>
    <w:p w14:paraId="32B04536">
      <w:pPr>
        <w:tabs>
          <w:tab w:val="left" w:pos="750"/>
        </w:tabs>
        <w:adjustRightInd w:val="0"/>
        <w:snapToGrid w:val="0"/>
        <w:spacing w:line="500" w:lineRule="exact"/>
        <w:ind w:firstLine="840" w:firstLineChars="300"/>
        <w:rPr>
          <w:rFonts w:ascii="宋体" w:hAnsi="宋体"/>
          <w:color w:val="auto"/>
          <w:sz w:val="28"/>
          <w:szCs w:val="28"/>
          <w:highlight w:val="none"/>
        </w:rPr>
      </w:pPr>
      <w:r>
        <w:rPr>
          <w:rFonts w:hint="eastAsia" w:ascii="宋体" w:hAnsi="宋体"/>
          <w:color w:val="auto"/>
          <w:sz w:val="28"/>
          <w:szCs w:val="28"/>
          <w:highlight w:val="none"/>
        </w:rPr>
        <w:t>供应商名称（</w:t>
      </w:r>
      <w:r>
        <w:rPr>
          <w:rFonts w:hint="eastAsia" w:ascii="宋体" w:hAnsi="宋体"/>
          <w:color w:val="auto"/>
          <w:sz w:val="28"/>
          <w:szCs w:val="28"/>
          <w:highlight w:val="none"/>
          <w:lang w:eastAsia="zh-CN"/>
        </w:rPr>
        <w:t>盖章</w:t>
      </w:r>
      <w:r>
        <w:rPr>
          <w:rFonts w:hint="eastAsia" w:ascii="宋体" w:hAnsi="宋体"/>
          <w:color w:val="auto"/>
          <w:sz w:val="28"/>
          <w:szCs w:val="28"/>
          <w:highlight w:val="none"/>
        </w:rPr>
        <w:t>）：</w:t>
      </w:r>
      <w:r>
        <w:rPr>
          <w:rFonts w:hint="eastAsia" w:ascii="宋体" w:hAnsi="宋体"/>
          <w:color w:val="auto"/>
          <w:sz w:val="28"/>
          <w:szCs w:val="28"/>
          <w:highlight w:val="none"/>
          <w:u w:val="single"/>
        </w:rPr>
        <w:t xml:space="preserve">           </w:t>
      </w:r>
    </w:p>
    <w:p w14:paraId="6F859942">
      <w:pPr>
        <w:tabs>
          <w:tab w:val="left" w:pos="750"/>
        </w:tabs>
        <w:adjustRightInd w:val="0"/>
        <w:snapToGrid w:val="0"/>
        <w:spacing w:line="500" w:lineRule="exact"/>
        <w:rPr>
          <w:rFonts w:ascii="宋体" w:hAnsi="宋体"/>
          <w:color w:val="auto"/>
          <w:sz w:val="28"/>
          <w:szCs w:val="28"/>
          <w:highlight w:val="none"/>
        </w:rPr>
      </w:pPr>
    </w:p>
    <w:p w14:paraId="6546F9D9">
      <w:pPr>
        <w:tabs>
          <w:tab w:val="left" w:pos="750"/>
        </w:tabs>
        <w:adjustRightInd w:val="0"/>
        <w:snapToGrid w:val="0"/>
        <w:spacing w:line="500" w:lineRule="exact"/>
        <w:ind w:firstLine="840" w:firstLineChars="300"/>
        <w:rPr>
          <w:rFonts w:ascii="宋体" w:hAnsi="宋体"/>
          <w:color w:val="auto"/>
          <w:sz w:val="28"/>
          <w:szCs w:val="28"/>
          <w:highlight w:val="none"/>
        </w:rPr>
      </w:pPr>
      <w:r>
        <w:rPr>
          <w:rFonts w:hint="eastAsia" w:ascii="宋体" w:hAnsi="宋体"/>
          <w:color w:val="auto"/>
          <w:sz w:val="28"/>
          <w:szCs w:val="28"/>
          <w:highlight w:val="none"/>
        </w:rPr>
        <w:t>供应商法定代表人（</w:t>
      </w:r>
      <w:r>
        <w:rPr>
          <w:rFonts w:hint="eastAsia" w:ascii="宋体" w:hAnsi="宋体"/>
          <w:color w:val="auto"/>
          <w:sz w:val="28"/>
          <w:szCs w:val="28"/>
          <w:highlight w:val="none"/>
          <w:lang w:eastAsia="zh-CN"/>
        </w:rPr>
        <w:t>盖章或签字</w:t>
      </w:r>
      <w:r>
        <w:rPr>
          <w:rFonts w:hint="eastAsia" w:ascii="宋体" w:hAnsi="宋体"/>
          <w:color w:val="auto"/>
          <w:sz w:val="28"/>
          <w:szCs w:val="28"/>
          <w:highlight w:val="none"/>
        </w:rPr>
        <w:t>）：</w:t>
      </w:r>
      <w:r>
        <w:rPr>
          <w:rFonts w:hint="eastAsia" w:ascii="宋体" w:hAnsi="宋体"/>
          <w:color w:val="auto"/>
          <w:sz w:val="28"/>
          <w:szCs w:val="28"/>
          <w:highlight w:val="none"/>
          <w:u w:val="single"/>
        </w:rPr>
        <w:t xml:space="preserve">           </w:t>
      </w:r>
    </w:p>
    <w:p w14:paraId="6D0A34FE">
      <w:pPr>
        <w:tabs>
          <w:tab w:val="left" w:pos="750"/>
        </w:tabs>
        <w:adjustRightInd w:val="0"/>
        <w:snapToGrid w:val="0"/>
        <w:spacing w:line="500" w:lineRule="exact"/>
        <w:rPr>
          <w:rFonts w:ascii="宋体" w:hAnsi="宋体"/>
          <w:color w:val="auto"/>
          <w:sz w:val="28"/>
          <w:szCs w:val="28"/>
          <w:highlight w:val="none"/>
        </w:rPr>
      </w:pPr>
    </w:p>
    <w:p w14:paraId="7019177F">
      <w:pPr>
        <w:tabs>
          <w:tab w:val="left" w:pos="750"/>
        </w:tabs>
        <w:adjustRightInd w:val="0"/>
        <w:snapToGrid w:val="0"/>
        <w:spacing w:line="500" w:lineRule="exact"/>
        <w:ind w:firstLine="840" w:firstLineChars="300"/>
        <w:rPr>
          <w:rFonts w:ascii="宋体" w:hAnsi="宋体"/>
          <w:color w:val="auto"/>
          <w:sz w:val="28"/>
          <w:szCs w:val="28"/>
          <w:highlight w:val="none"/>
        </w:rPr>
      </w:pPr>
      <w:r>
        <w:rPr>
          <w:rFonts w:hint="eastAsia" w:ascii="宋体" w:hAnsi="宋体"/>
          <w:color w:val="auto"/>
          <w:sz w:val="28"/>
          <w:szCs w:val="28"/>
          <w:highlight w:val="none"/>
        </w:rPr>
        <w:t>日期：</w:t>
      </w:r>
      <w:r>
        <w:rPr>
          <w:rFonts w:hint="eastAsia" w:ascii="宋体" w:hAnsi="宋体"/>
          <w:color w:val="auto"/>
          <w:sz w:val="28"/>
          <w:szCs w:val="28"/>
          <w:highlight w:val="none"/>
          <w:u w:val="single"/>
        </w:rPr>
        <w:t xml:space="preserve">        </w:t>
      </w:r>
      <w:r>
        <w:rPr>
          <w:rFonts w:hint="eastAsia" w:ascii="宋体" w:hAnsi="宋体"/>
          <w:color w:val="auto"/>
          <w:sz w:val="28"/>
          <w:szCs w:val="28"/>
          <w:highlight w:val="none"/>
        </w:rPr>
        <w:t>年</w:t>
      </w:r>
      <w:r>
        <w:rPr>
          <w:rFonts w:hint="eastAsia" w:ascii="宋体" w:hAnsi="宋体"/>
          <w:color w:val="auto"/>
          <w:sz w:val="28"/>
          <w:szCs w:val="28"/>
          <w:highlight w:val="none"/>
          <w:u w:val="single"/>
        </w:rPr>
        <w:t xml:space="preserve">      </w:t>
      </w:r>
      <w:r>
        <w:rPr>
          <w:rFonts w:hint="eastAsia" w:ascii="宋体" w:hAnsi="宋体"/>
          <w:color w:val="auto"/>
          <w:sz w:val="28"/>
          <w:szCs w:val="28"/>
          <w:highlight w:val="none"/>
        </w:rPr>
        <w:t>月</w:t>
      </w:r>
      <w:r>
        <w:rPr>
          <w:rFonts w:hint="eastAsia" w:ascii="宋体" w:hAnsi="宋体"/>
          <w:color w:val="auto"/>
          <w:sz w:val="28"/>
          <w:szCs w:val="28"/>
          <w:highlight w:val="none"/>
          <w:u w:val="single"/>
        </w:rPr>
        <w:t xml:space="preserve">   </w:t>
      </w:r>
      <w:r>
        <w:rPr>
          <w:rFonts w:hint="eastAsia" w:ascii="宋体" w:hAnsi="宋体"/>
          <w:color w:val="auto"/>
          <w:sz w:val="28"/>
          <w:szCs w:val="28"/>
          <w:highlight w:val="none"/>
          <w:u w:val="single"/>
          <w:lang w:val="en-US" w:eastAsia="zh-CN"/>
        </w:rPr>
        <w:t xml:space="preserve"> </w:t>
      </w:r>
      <w:r>
        <w:rPr>
          <w:rFonts w:hint="eastAsia" w:ascii="宋体" w:hAnsi="宋体"/>
          <w:color w:val="auto"/>
          <w:sz w:val="28"/>
          <w:szCs w:val="28"/>
          <w:highlight w:val="none"/>
          <w:u w:val="single"/>
        </w:rPr>
        <w:t xml:space="preserve">  </w:t>
      </w:r>
      <w:r>
        <w:rPr>
          <w:rFonts w:hint="eastAsia" w:ascii="宋体" w:hAnsi="宋体"/>
          <w:color w:val="auto"/>
          <w:sz w:val="28"/>
          <w:szCs w:val="28"/>
          <w:highlight w:val="none"/>
        </w:rPr>
        <w:t>日</w:t>
      </w:r>
    </w:p>
    <w:p w14:paraId="08672DCE">
      <w:pPr>
        <w:adjustRightInd w:val="0"/>
        <w:snapToGrid w:val="0"/>
        <w:spacing w:line="500" w:lineRule="exact"/>
        <w:rPr>
          <w:rFonts w:ascii="宋体" w:hAnsi="宋体"/>
          <w:color w:val="auto"/>
          <w:sz w:val="28"/>
          <w:szCs w:val="28"/>
          <w:highlight w:val="none"/>
        </w:rPr>
      </w:pPr>
      <w:r>
        <w:rPr>
          <w:rFonts w:hint="eastAsia" w:ascii="宋体" w:hAnsi="宋体"/>
          <w:color w:val="auto"/>
          <w:sz w:val="28"/>
          <w:szCs w:val="28"/>
          <w:highlight w:val="none"/>
        </w:rPr>
        <w:t xml:space="preserve"> </w:t>
      </w:r>
    </w:p>
    <w:p w14:paraId="2ED50858">
      <w:pPr>
        <w:adjustRightInd w:val="0"/>
        <w:snapToGrid w:val="0"/>
        <w:spacing w:line="500" w:lineRule="exact"/>
        <w:rPr>
          <w:rFonts w:ascii="宋体" w:hAnsi="宋体"/>
          <w:color w:val="auto"/>
          <w:sz w:val="28"/>
          <w:szCs w:val="28"/>
          <w:highlight w:val="none"/>
        </w:rPr>
      </w:pPr>
      <w:r>
        <w:rPr>
          <w:rFonts w:hint="eastAsia" w:ascii="宋体" w:hAnsi="宋体"/>
          <w:color w:val="auto"/>
          <w:sz w:val="28"/>
          <w:szCs w:val="28"/>
          <w:highlight w:val="none"/>
        </w:rPr>
        <w:t xml:space="preserve"> </w:t>
      </w:r>
    </w:p>
    <w:p w14:paraId="1BB4AE6D">
      <w:pPr>
        <w:adjustRightInd w:val="0"/>
        <w:snapToGrid w:val="0"/>
        <w:spacing w:line="500" w:lineRule="exact"/>
        <w:rPr>
          <w:rFonts w:ascii="宋体" w:hAnsi="宋体"/>
          <w:color w:val="auto"/>
          <w:sz w:val="28"/>
          <w:szCs w:val="28"/>
          <w:highlight w:val="none"/>
        </w:rPr>
      </w:pPr>
      <w:r>
        <w:rPr>
          <w:rFonts w:hint="eastAsia" w:ascii="宋体" w:hAnsi="宋体"/>
          <w:color w:val="auto"/>
          <w:sz w:val="28"/>
          <w:szCs w:val="28"/>
          <w:highlight w:val="none"/>
        </w:rPr>
        <w:t xml:space="preserve"> </w:t>
      </w:r>
    </w:p>
    <w:p w14:paraId="22BD9262">
      <w:pPr>
        <w:adjustRightInd w:val="0"/>
        <w:snapToGrid w:val="0"/>
        <w:spacing w:line="500" w:lineRule="exact"/>
        <w:jc w:val="center"/>
        <w:outlineLvl w:val="1"/>
        <w:rPr>
          <w:rFonts w:ascii="宋体" w:hAnsi="宋体"/>
          <w:b/>
          <w:color w:val="auto"/>
          <w:sz w:val="32"/>
          <w:szCs w:val="32"/>
          <w:highlight w:val="none"/>
        </w:rPr>
      </w:pPr>
      <w:r>
        <w:rPr>
          <w:rFonts w:hint="eastAsia" w:ascii="宋体" w:hAnsi="宋体"/>
          <w:color w:val="auto"/>
          <w:sz w:val="28"/>
          <w:szCs w:val="28"/>
          <w:highlight w:val="none"/>
        </w:rPr>
        <w:br w:type="page"/>
      </w:r>
      <w:bookmarkStart w:id="118" w:name="_Toc19249"/>
      <w:r>
        <w:rPr>
          <w:rFonts w:hint="eastAsia" w:ascii="宋体" w:hAnsi="宋体"/>
          <w:b/>
          <w:color w:val="auto"/>
          <w:sz w:val="36"/>
          <w:szCs w:val="36"/>
          <w:highlight w:val="none"/>
        </w:rPr>
        <w:t>法定代表人授权书</w:t>
      </w:r>
      <w:bookmarkEnd w:id="118"/>
    </w:p>
    <w:p w14:paraId="0EFAC63F">
      <w:pPr>
        <w:pStyle w:val="11"/>
        <w:keepNext w:val="0"/>
        <w:keepLines w:val="0"/>
        <w:pageBreakBefore w:val="0"/>
        <w:widowControl w:val="0"/>
        <w:kinsoku/>
        <w:wordWrap/>
        <w:overflowPunct/>
        <w:topLinePunct w:val="0"/>
        <w:autoSpaceDE/>
        <w:autoSpaceDN/>
        <w:bidi w:val="0"/>
        <w:spacing w:line="500" w:lineRule="exact"/>
        <w:textAlignment w:val="auto"/>
        <w:rPr>
          <w:rFonts w:hAnsi="宋体"/>
          <w:color w:val="auto"/>
          <w:sz w:val="28"/>
          <w:szCs w:val="28"/>
          <w:highlight w:val="none"/>
          <w:u w:val="single"/>
        </w:rPr>
      </w:pPr>
      <w:r>
        <w:rPr>
          <w:rFonts w:hint="eastAsia" w:hAnsi="宋体"/>
          <w:color w:val="auto"/>
          <w:sz w:val="28"/>
          <w:szCs w:val="28"/>
          <w:highlight w:val="none"/>
          <w:u w:val="single"/>
        </w:rPr>
        <w:t>（代理机构）：</w:t>
      </w:r>
    </w:p>
    <w:p w14:paraId="781694A7">
      <w:pPr>
        <w:keepNext w:val="0"/>
        <w:keepLines w:val="0"/>
        <w:pageBreakBefore w:val="0"/>
        <w:widowControl w:val="0"/>
        <w:kinsoku/>
        <w:wordWrap/>
        <w:overflowPunct/>
        <w:topLinePunct w:val="0"/>
        <w:autoSpaceDE/>
        <w:autoSpaceDN/>
        <w:bidi w:val="0"/>
        <w:spacing w:line="500" w:lineRule="exact"/>
        <w:ind w:firstLine="560" w:firstLineChars="200"/>
        <w:textAlignment w:val="auto"/>
        <w:rPr>
          <w:rFonts w:ascii="宋体" w:hAnsi="宋体"/>
          <w:color w:val="auto"/>
          <w:sz w:val="28"/>
          <w:szCs w:val="28"/>
          <w:highlight w:val="none"/>
        </w:rPr>
      </w:pPr>
      <w:r>
        <w:rPr>
          <w:rFonts w:hint="eastAsia" w:ascii="宋体" w:hAnsi="宋体"/>
          <w:color w:val="auto"/>
          <w:sz w:val="28"/>
          <w:szCs w:val="28"/>
          <w:highlight w:val="none"/>
        </w:rPr>
        <w:t>兹授权</w:t>
      </w:r>
      <w:r>
        <w:rPr>
          <w:rFonts w:hint="eastAsia" w:ascii="宋体" w:hAnsi="宋体"/>
          <w:color w:val="auto"/>
          <w:sz w:val="28"/>
          <w:szCs w:val="28"/>
          <w:highlight w:val="none"/>
          <w:u w:val="single"/>
        </w:rPr>
        <w:t xml:space="preserve">      </w:t>
      </w:r>
      <w:r>
        <w:rPr>
          <w:rFonts w:hint="eastAsia" w:ascii="宋体" w:hAnsi="宋体"/>
          <w:color w:val="auto"/>
          <w:sz w:val="28"/>
          <w:szCs w:val="28"/>
          <w:highlight w:val="none"/>
        </w:rPr>
        <w:t>同志为我公司参加贵单位组织的</w:t>
      </w:r>
      <w:r>
        <w:rPr>
          <w:rFonts w:hint="eastAsia" w:ascii="宋体" w:hAnsi="宋体"/>
          <w:color w:val="auto"/>
          <w:sz w:val="28"/>
          <w:szCs w:val="28"/>
          <w:highlight w:val="none"/>
          <w:u w:val="single"/>
        </w:rPr>
        <w:t>（项 目 名 称）</w:t>
      </w:r>
      <w:r>
        <w:rPr>
          <w:rFonts w:hint="eastAsia" w:ascii="宋体" w:hAnsi="宋体"/>
          <w:color w:val="auto"/>
          <w:sz w:val="28"/>
          <w:szCs w:val="28"/>
          <w:highlight w:val="none"/>
        </w:rPr>
        <w:t>采购活动的磋商代表人，全权代表我公司处理在该项目活动中的一切事宜。代理期限从</w:t>
      </w:r>
      <w:r>
        <w:rPr>
          <w:rFonts w:hint="eastAsia" w:ascii="宋体" w:hAnsi="宋体"/>
          <w:color w:val="auto"/>
          <w:sz w:val="28"/>
          <w:szCs w:val="28"/>
          <w:highlight w:val="none"/>
          <w:u w:val="single"/>
        </w:rPr>
        <w:t xml:space="preserve">       </w:t>
      </w:r>
      <w:r>
        <w:rPr>
          <w:rFonts w:hint="eastAsia" w:ascii="宋体" w:hAnsi="宋体"/>
          <w:color w:val="auto"/>
          <w:sz w:val="28"/>
          <w:szCs w:val="28"/>
          <w:highlight w:val="none"/>
        </w:rPr>
        <w:t>年</w:t>
      </w:r>
      <w:r>
        <w:rPr>
          <w:rFonts w:hint="eastAsia" w:ascii="宋体" w:hAnsi="宋体"/>
          <w:color w:val="auto"/>
          <w:sz w:val="28"/>
          <w:szCs w:val="28"/>
          <w:highlight w:val="none"/>
          <w:u w:val="single"/>
        </w:rPr>
        <w:t xml:space="preserve">    </w:t>
      </w:r>
      <w:r>
        <w:rPr>
          <w:rFonts w:hint="eastAsia" w:ascii="宋体" w:hAnsi="宋体"/>
          <w:color w:val="auto"/>
          <w:sz w:val="28"/>
          <w:szCs w:val="28"/>
          <w:highlight w:val="none"/>
        </w:rPr>
        <w:t>月</w:t>
      </w:r>
      <w:r>
        <w:rPr>
          <w:rFonts w:hint="eastAsia" w:ascii="宋体" w:hAnsi="宋体"/>
          <w:color w:val="auto"/>
          <w:sz w:val="28"/>
          <w:szCs w:val="28"/>
          <w:highlight w:val="none"/>
          <w:u w:val="single"/>
        </w:rPr>
        <w:t xml:space="preserve">    </w:t>
      </w:r>
      <w:r>
        <w:rPr>
          <w:rFonts w:hint="eastAsia" w:ascii="宋体" w:hAnsi="宋体"/>
          <w:color w:val="auto"/>
          <w:sz w:val="28"/>
          <w:szCs w:val="28"/>
          <w:highlight w:val="none"/>
        </w:rPr>
        <w:t>日起至</w:t>
      </w:r>
      <w:r>
        <w:rPr>
          <w:rFonts w:hint="eastAsia" w:ascii="宋体" w:hAnsi="宋体"/>
          <w:color w:val="auto"/>
          <w:sz w:val="28"/>
          <w:szCs w:val="28"/>
          <w:highlight w:val="none"/>
          <w:u w:val="single"/>
        </w:rPr>
        <w:t xml:space="preserve">     </w:t>
      </w:r>
      <w:r>
        <w:rPr>
          <w:rFonts w:hint="eastAsia" w:ascii="宋体" w:hAnsi="宋体"/>
          <w:color w:val="auto"/>
          <w:sz w:val="28"/>
          <w:szCs w:val="28"/>
          <w:highlight w:val="none"/>
        </w:rPr>
        <w:t>年</w:t>
      </w:r>
      <w:r>
        <w:rPr>
          <w:rFonts w:hint="eastAsia" w:ascii="宋体" w:hAnsi="宋体"/>
          <w:color w:val="auto"/>
          <w:sz w:val="28"/>
          <w:szCs w:val="28"/>
          <w:highlight w:val="none"/>
          <w:u w:val="single"/>
        </w:rPr>
        <w:t xml:space="preserve">   </w:t>
      </w:r>
      <w:r>
        <w:rPr>
          <w:rFonts w:hint="eastAsia" w:ascii="宋体" w:hAnsi="宋体"/>
          <w:color w:val="auto"/>
          <w:sz w:val="28"/>
          <w:szCs w:val="28"/>
          <w:highlight w:val="none"/>
        </w:rPr>
        <w:t>月</w:t>
      </w:r>
      <w:r>
        <w:rPr>
          <w:rFonts w:hint="eastAsia" w:ascii="宋体" w:hAnsi="宋体"/>
          <w:color w:val="auto"/>
          <w:sz w:val="28"/>
          <w:szCs w:val="28"/>
          <w:highlight w:val="none"/>
          <w:u w:val="single"/>
        </w:rPr>
        <w:t xml:space="preserve">   </w:t>
      </w:r>
      <w:r>
        <w:rPr>
          <w:rFonts w:hint="eastAsia" w:ascii="宋体" w:hAnsi="宋体"/>
          <w:color w:val="auto"/>
          <w:sz w:val="28"/>
          <w:szCs w:val="28"/>
          <w:highlight w:val="none"/>
        </w:rPr>
        <w:t xml:space="preserve">日止。 </w:t>
      </w:r>
    </w:p>
    <w:p w14:paraId="05D525B9">
      <w:pPr>
        <w:keepNext w:val="0"/>
        <w:keepLines w:val="0"/>
        <w:pageBreakBefore w:val="0"/>
        <w:widowControl w:val="0"/>
        <w:kinsoku/>
        <w:wordWrap/>
        <w:overflowPunct/>
        <w:topLinePunct w:val="0"/>
        <w:autoSpaceDE/>
        <w:autoSpaceDN/>
        <w:bidi w:val="0"/>
        <w:spacing w:line="500" w:lineRule="exact"/>
        <w:textAlignment w:val="auto"/>
        <w:rPr>
          <w:rFonts w:ascii="宋体" w:hAnsi="宋体"/>
          <w:color w:val="auto"/>
          <w:sz w:val="28"/>
          <w:szCs w:val="28"/>
          <w:highlight w:val="none"/>
        </w:rPr>
      </w:pPr>
    </w:p>
    <w:p w14:paraId="6CF448D7">
      <w:pPr>
        <w:keepNext w:val="0"/>
        <w:keepLines w:val="0"/>
        <w:pageBreakBefore w:val="0"/>
        <w:widowControl w:val="0"/>
        <w:kinsoku/>
        <w:wordWrap/>
        <w:overflowPunct/>
        <w:topLinePunct w:val="0"/>
        <w:autoSpaceDE/>
        <w:autoSpaceDN/>
        <w:bidi w:val="0"/>
        <w:spacing w:line="500" w:lineRule="exact"/>
        <w:textAlignment w:val="auto"/>
        <w:rPr>
          <w:rFonts w:ascii="宋体" w:hAnsi="宋体"/>
          <w:color w:val="auto"/>
          <w:sz w:val="28"/>
          <w:szCs w:val="28"/>
          <w:highlight w:val="none"/>
        </w:rPr>
      </w:pPr>
      <w:r>
        <w:rPr>
          <w:rFonts w:hint="eastAsia" w:ascii="宋体" w:hAnsi="宋体"/>
          <w:color w:val="auto"/>
          <w:sz w:val="28"/>
          <w:szCs w:val="28"/>
          <w:highlight w:val="none"/>
        </w:rPr>
        <w:t>授权单位（</w:t>
      </w:r>
      <w:r>
        <w:rPr>
          <w:rFonts w:hint="eastAsia" w:ascii="宋体" w:hAnsi="宋体"/>
          <w:color w:val="auto"/>
          <w:sz w:val="28"/>
          <w:szCs w:val="28"/>
          <w:highlight w:val="none"/>
          <w:lang w:eastAsia="zh-CN"/>
        </w:rPr>
        <w:t>盖章</w:t>
      </w:r>
      <w:r>
        <w:rPr>
          <w:rFonts w:hint="eastAsia" w:ascii="宋体" w:hAnsi="宋体"/>
          <w:color w:val="auto"/>
          <w:sz w:val="28"/>
          <w:szCs w:val="28"/>
          <w:highlight w:val="none"/>
        </w:rPr>
        <w:t>）：</w:t>
      </w:r>
      <w:r>
        <w:rPr>
          <w:rFonts w:hint="eastAsia" w:ascii="宋体" w:hAnsi="宋体"/>
          <w:color w:val="auto"/>
          <w:sz w:val="28"/>
          <w:szCs w:val="28"/>
          <w:highlight w:val="none"/>
          <w:u w:val="single"/>
        </w:rPr>
        <w:t xml:space="preserve">               </w:t>
      </w:r>
    </w:p>
    <w:p w14:paraId="195F5CDF">
      <w:pPr>
        <w:keepNext w:val="0"/>
        <w:keepLines w:val="0"/>
        <w:pageBreakBefore w:val="0"/>
        <w:widowControl w:val="0"/>
        <w:kinsoku/>
        <w:wordWrap/>
        <w:overflowPunct/>
        <w:topLinePunct w:val="0"/>
        <w:autoSpaceDE/>
        <w:autoSpaceDN/>
        <w:bidi w:val="0"/>
        <w:spacing w:line="500" w:lineRule="exact"/>
        <w:textAlignment w:val="auto"/>
        <w:rPr>
          <w:rFonts w:ascii="宋体" w:hAnsi="宋体"/>
          <w:color w:val="auto"/>
          <w:sz w:val="28"/>
          <w:szCs w:val="28"/>
          <w:highlight w:val="none"/>
        </w:rPr>
      </w:pPr>
      <w:r>
        <w:rPr>
          <w:rFonts w:hint="eastAsia" w:ascii="宋体" w:hAnsi="宋体"/>
          <w:color w:val="auto"/>
          <w:sz w:val="28"/>
          <w:szCs w:val="28"/>
          <w:highlight w:val="none"/>
        </w:rPr>
        <w:t>法定代表人（</w:t>
      </w:r>
      <w:r>
        <w:rPr>
          <w:rFonts w:hint="eastAsia" w:ascii="宋体" w:hAnsi="宋体"/>
          <w:color w:val="auto"/>
          <w:sz w:val="28"/>
          <w:szCs w:val="28"/>
          <w:highlight w:val="none"/>
          <w:lang w:eastAsia="zh-CN"/>
        </w:rPr>
        <w:t>盖章或签字</w:t>
      </w:r>
      <w:r>
        <w:rPr>
          <w:rFonts w:hint="eastAsia" w:ascii="宋体" w:hAnsi="宋体"/>
          <w:color w:val="auto"/>
          <w:sz w:val="28"/>
          <w:szCs w:val="28"/>
          <w:highlight w:val="none"/>
        </w:rPr>
        <w:t>）：</w:t>
      </w:r>
      <w:r>
        <w:rPr>
          <w:rFonts w:hint="eastAsia" w:ascii="宋体" w:hAnsi="宋体"/>
          <w:color w:val="auto"/>
          <w:sz w:val="28"/>
          <w:szCs w:val="28"/>
          <w:highlight w:val="none"/>
          <w:u w:val="single"/>
        </w:rPr>
        <w:t xml:space="preserve">             </w:t>
      </w:r>
    </w:p>
    <w:p w14:paraId="5EA2A2AC">
      <w:pPr>
        <w:keepNext w:val="0"/>
        <w:keepLines w:val="0"/>
        <w:pageBreakBefore w:val="0"/>
        <w:widowControl w:val="0"/>
        <w:kinsoku/>
        <w:wordWrap/>
        <w:overflowPunct/>
        <w:topLinePunct w:val="0"/>
        <w:autoSpaceDE/>
        <w:autoSpaceDN/>
        <w:bidi w:val="0"/>
        <w:spacing w:line="500" w:lineRule="exact"/>
        <w:textAlignment w:val="auto"/>
        <w:rPr>
          <w:rFonts w:ascii="宋体" w:hAnsi="宋体"/>
          <w:color w:val="auto"/>
          <w:sz w:val="28"/>
          <w:szCs w:val="28"/>
          <w:highlight w:val="none"/>
        </w:rPr>
      </w:pPr>
      <w:r>
        <w:rPr>
          <w:rFonts w:hint="eastAsia" w:ascii="宋体" w:hAnsi="宋体"/>
          <w:color w:val="auto"/>
          <w:sz w:val="28"/>
          <w:szCs w:val="28"/>
          <w:highlight w:val="none"/>
        </w:rPr>
        <w:t>签发日期：</w:t>
      </w:r>
      <w:r>
        <w:rPr>
          <w:rFonts w:hint="eastAsia" w:ascii="宋体" w:hAnsi="宋体"/>
          <w:color w:val="auto"/>
          <w:sz w:val="28"/>
          <w:szCs w:val="28"/>
          <w:highlight w:val="none"/>
          <w:u w:val="single"/>
        </w:rPr>
        <w:t xml:space="preserve">       </w:t>
      </w:r>
      <w:r>
        <w:rPr>
          <w:rFonts w:hint="eastAsia" w:ascii="宋体" w:hAnsi="宋体"/>
          <w:color w:val="auto"/>
          <w:sz w:val="28"/>
          <w:szCs w:val="28"/>
          <w:highlight w:val="none"/>
        </w:rPr>
        <w:t>年</w:t>
      </w:r>
      <w:r>
        <w:rPr>
          <w:rFonts w:hint="eastAsia" w:ascii="宋体" w:hAnsi="宋体"/>
          <w:color w:val="auto"/>
          <w:sz w:val="28"/>
          <w:szCs w:val="28"/>
          <w:highlight w:val="none"/>
          <w:u w:val="single"/>
        </w:rPr>
        <w:t xml:space="preserve">     </w:t>
      </w:r>
      <w:r>
        <w:rPr>
          <w:rFonts w:hint="eastAsia" w:ascii="宋体" w:hAnsi="宋体"/>
          <w:color w:val="auto"/>
          <w:sz w:val="28"/>
          <w:szCs w:val="28"/>
          <w:highlight w:val="none"/>
        </w:rPr>
        <w:t>月</w:t>
      </w:r>
      <w:r>
        <w:rPr>
          <w:rFonts w:hint="eastAsia" w:ascii="宋体" w:hAnsi="宋体"/>
          <w:color w:val="auto"/>
          <w:sz w:val="28"/>
          <w:szCs w:val="28"/>
          <w:highlight w:val="none"/>
          <w:u w:val="single"/>
        </w:rPr>
        <w:t xml:space="preserve">     </w:t>
      </w:r>
      <w:r>
        <w:rPr>
          <w:rFonts w:hint="eastAsia" w:ascii="宋体" w:hAnsi="宋体"/>
          <w:color w:val="auto"/>
          <w:sz w:val="28"/>
          <w:szCs w:val="28"/>
          <w:highlight w:val="none"/>
        </w:rPr>
        <w:t>日</w:t>
      </w:r>
    </w:p>
    <w:p w14:paraId="41921D8A">
      <w:pPr>
        <w:keepNext w:val="0"/>
        <w:keepLines w:val="0"/>
        <w:pageBreakBefore w:val="0"/>
        <w:widowControl w:val="0"/>
        <w:kinsoku/>
        <w:wordWrap/>
        <w:overflowPunct/>
        <w:topLinePunct w:val="0"/>
        <w:autoSpaceDE/>
        <w:autoSpaceDN/>
        <w:bidi w:val="0"/>
        <w:spacing w:line="500" w:lineRule="exact"/>
        <w:textAlignment w:val="auto"/>
        <w:rPr>
          <w:rFonts w:ascii="宋体" w:hAnsi="宋体"/>
          <w:color w:val="auto"/>
          <w:sz w:val="28"/>
          <w:szCs w:val="28"/>
          <w:highlight w:val="none"/>
        </w:rPr>
      </w:pPr>
    </w:p>
    <w:p w14:paraId="5815C039">
      <w:pPr>
        <w:keepNext w:val="0"/>
        <w:keepLines w:val="0"/>
        <w:pageBreakBefore w:val="0"/>
        <w:widowControl w:val="0"/>
        <w:kinsoku/>
        <w:wordWrap/>
        <w:overflowPunct/>
        <w:topLinePunct w:val="0"/>
        <w:autoSpaceDE/>
        <w:autoSpaceDN/>
        <w:bidi w:val="0"/>
        <w:spacing w:line="500" w:lineRule="exact"/>
        <w:textAlignment w:val="auto"/>
        <w:rPr>
          <w:rFonts w:ascii="宋体" w:hAnsi="宋体"/>
          <w:color w:val="auto"/>
          <w:sz w:val="28"/>
          <w:szCs w:val="28"/>
          <w:highlight w:val="none"/>
        </w:rPr>
      </w:pPr>
      <w:r>
        <w:rPr>
          <w:rFonts w:hint="eastAsia" w:ascii="宋体" w:hAnsi="宋体"/>
          <w:color w:val="auto"/>
          <w:sz w:val="28"/>
          <w:szCs w:val="28"/>
          <w:highlight w:val="none"/>
        </w:rPr>
        <w:t>附：代理人工作单位：</w:t>
      </w:r>
      <w:r>
        <w:rPr>
          <w:rFonts w:hint="eastAsia" w:ascii="宋体" w:hAnsi="宋体"/>
          <w:color w:val="auto"/>
          <w:sz w:val="28"/>
          <w:szCs w:val="28"/>
          <w:highlight w:val="none"/>
          <w:u w:val="single"/>
        </w:rPr>
        <w:t xml:space="preserve">                      </w:t>
      </w:r>
    </w:p>
    <w:p w14:paraId="2BFE5A21">
      <w:pPr>
        <w:keepNext w:val="0"/>
        <w:keepLines w:val="0"/>
        <w:pageBreakBefore w:val="0"/>
        <w:widowControl w:val="0"/>
        <w:kinsoku/>
        <w:wordWrap/>
        <w:overflowPunct/>
        <w:topLinePunct w:val="0"/>
        <w:autoSpaceDE/>
        <w:autoSpaceDN/>
        <w:bidi w:val="0"/>
        <w:spacing w:line="500" w:lineRule="exact"/>
        <w:textAlignment w:val="auto"/>
        <w:rPr>
          <w:rFonts w:ascii="宋体" w:hAnsi="宋体"/>
          <w:color w:val="auto"/>
          <w:sz w:val="28"/>
          <w:szCs w:val="28"/>
          <w:highlight w:val="none"/>
        </w:rPr>
      </w:pPr>
      <w:r>
        <w:rPr>
          <w:rFonts w:hint="eastAsia" w:ascii="宋体" w:hAnsi="宋体"/>
          <w:color w:val="auto"/>
          <w:sz w:val="28"/>
          <w:szCs w:val="28"/>
          <w:highlight w:val="none"/>
        </w:rPr>
        <w:t>职务：</w:t>
      </w:r>
      <w:r>
        <w:rPr>
          <w:rFonts w:hint="eastAsia" w:ascii="宋体" w:hAnsi="宋体"/>
          <w:color w:val="auto"/>
          <w:sz w:val="28"/>
          <w:szCs w:val="28"/>
          <w:highlight w:val="none"/>
          <w:u w:val="single"/>
        </w:rPr>
        <w:t xml:space="preserve">                    </w:t>
      </w:r>
      <w:r>
        <w:rPr>
          <w:rFonts w:hint="eastAsia" w:ascii="宋体" w:hAnsi="宋体"/>
          <w:color w:val="auto"/>
          <w:sz w:val="28"/>
          <w:szCs w:val="28"/>
          <w:highlight w:val="none"/>
        </w:rPr>
        <w:t xml:space="preserve">    性别：</w:t>
      </w:r>
      <w:r>
        <w:rPr>
          <w:rFonts w:hint="eastAsia" w:ascii="宋体" w:hAnsi="宋体"/>
          <w:color w:val="auto"/>
          <w:sz w:val="28"/>
          <w:szCs w:val="28"/>
          <w:highlight w:val="none"/>
          <w:u w:val="single"/>
        </w:rPr>
        <w:t xml:space="preserve">      </w:t>
      </w:r>
    </w:p>
    <w:p w14:paraId="5C7FC830">
      <w:pPr>
        <w:keepNext w:val="0"/>
        <w:keepLines w:val="0"/>
        <w:pageBreakBefore w:val="0"/>
        <w:widowControl w:val="0"/>
        <w:kinsoku/>
        <w:wordWrap/>
        <w:overflowPunct/>
        <w:topLinePunct w:val="0"/>
        <w:autoSpaceDE/>
        <w:autoSpaceDN/>
        <w:bidi w:val="0"/>
        <w:adjustRightInd w:val="0"/>
        <w:snapToGrid w:val="0"/>
        <w:spacing w:line="500" w:lineRule="exact"/>
        <w:textAlignment w:val="auto"/>
        <w:rPr>
          <w:rFonts w:ascii="宋体" w:hAnsi="宋体"/>
          <w:color w:val="auto"/>
          <w:sz w:val="28"/>
          <w:szCs w:val="28"/>
          <w:highlight w:val="none"/>
          <w:u w:val="single"/>
        </w:rPr>
      </w:pPr>
      <w:r>
        <w:rPr>
          <w:rFonts w:hint="eastAsia" w:ascii="宋体" w:hAnsi="宋体"/>
          <w:color w:val="auto"/>
          <w:sz w:val="28"/>
          <w:szCs w:val="28"/>
          <w:highlight w:val="none"/>
        </w:rPr>
        <w:t>身份证号码：</w:t>
      </w:r>
      <w:r>
        <w:rPr>
          <w:rFonts w:hint="eastAsia" w:ascii="宋体" w:hAnsi="宋体"/>
          <w:color w:val="auto"/>
          <w:sz w:val="28"/>
          <w:szCs w:val="28"/>
          <w:highlight w:val="none"/>
          <w:u w:val="single"/>
        </w:rPr>
        <w:t xml:space="preserve">                              </w:t>
      </w:r>
    </w:p>
    <w:p w14:paraId="21E5D39B">
      <w:pPr>
        <w:adjustRightInd w:val="0"/>
        <w:snapToGrid w:val="0"/>
        <w:spacing w:line="500" w:lineRule="exact"/>
        <w:ind w:left="-88" w:leftChars="-42" w:firstLine="700" w:firstLineChars="250"/>
        <w:rPr>
          <w:rFonts w:ascii="宋体" w:hAnsi="宋体"/>
          <w:color w:val="auto"/>
          <w:sz w:val="28"/>
          <w:szCs w:val="28"/>
          <w:highlight w:val="none"/>
          <w:u w:val="single"/>
        </w:rPr>
      </w:pPr>
    </w:p>
    <w:tbl>
      <w:tblPr>
        <w:tblStyle w:val="16"/>
        <w:tblW w:w="0" w:type="auto"/>
        <w:tblInd w:w="3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50"/>
      </w:tblGrid>
      <w:tr w14:paraId="1E792E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2" w:hRule="atLeast"/>
        </w:trPr>
        <w:tc>
          <w:tcPr>
            <w:tcW w:w="8350" w:type="dxa"/>
            <w:tcBorders>
              <w:top w:val="single" w:color="auto" w:sz="4" w:space="0"/>
              <w:left w:val="single" w:color="auto" w:sz="4" w:space="0"/>
              <w:bottom w:val="single" w:color="auto" w:sz="4" w:space="0"/>
              <w:right w:val="single" w:color="auto" w:sz="4" w:space="0"/>
            </w:tcBorders>
            <w:noWrap w:val="0"/>
            <w:vAlign w:val="top"/>
          </w:tcPr>
          <w:p w14:paraId="54BEC992">
            <w:pPr>
              <w:spacing w:line="500" w:lineRule="exact"/>
              <w:rPr>
                <w:rFonts w:ascii="宋体" w:hAnsi="宋体"/>
                <w:color w:val="auto"/>
                <w:sz w:val="28"/>
                <w:szCs w:val="28"/>
                <w:highlight w:val="none"/>
              </w:rPr>
            </w:pPr>
            <w:r>
              <w:rPr>
                <w:rFonts w:hint="eastAsia" w:ascii="宋体" w:hAnsi="宋体"/>
                <w:color w:val="auto"/>
                <w:sz w:val="28"/>
                <w:szCs w:val="28"/>
                <w:highlight w:val="none"/>
              </w:rPr>
              <w:t>粘贴</w:t>
            </w:r>
            <w:r>
              <w:rPr>
                <w:rFonts w:hint="eastAsia" w:ascii="宋体" w:hAnsi="宋体"/>
                <w:color w:val="auto"/>
                <w:sz w:val="28"/>
                <w:szCs w:val="28"/>
                <w:highlight w:val="none"/>
                <w:lang w:eastAsia="zh-CN"/>
              </w:rPr>
              <w:t>授权人和</w:t>
            </w:r>
            <w:r>
              <w:rPr>
                <w:rFonts w:hint="eastAsia" w:ascii="宋体" w:hAnsi="宋体"/>
                <w:color w:val="auto"/>
                <w:sz w:val="28"/>
                <w:szCs w:val="28"/>
                <w:highlight w:val="none"/>
              </w:rPr>
              <w:t>被授权人身份证（扫描件）</w:t>
            </w:r>
          </w:p>
        </w:tc>
      </w:tr>
    </w:tbl>
    <w:p w14:paraId="4EAB7CC1">
      <w:pPr>
        <w:autoSpaceDE w:val="0"/>
        <w:autoSpaceDN w:val="0"/>
        <w:spacing w:line="500" w:lineRule="exact"/>
        <w:ind w:left="480" w:hanging="480"/>
        <w:rPr>
          <w:rFonts w:ascii="宋体" w:hAnsi="宋体"/>
          <w:color w:val="auto"/>
          <w:sz w:val="28"/>
          <w:szCs w:val="28"/>
          <w:highlight w:val="none"/>
        </w:rPr>
      </w:pPr>
    </w:p>
    <w:p w14:paraId="2A7D6350">
      <w:pPr>
        <w:pStyle w:val="11"/>
        <w:spacing w:line="500" w:lineRule="exact"/>
        <w:ind w:left="980" w:hanging="560"/>
        <w:rPr>
          <w:rFonts w:hAnsi="宋体"/>
          <w:color w:val="auto"/>
          <w:sz w:val="28"/>
          <w:szCs w:val="28"/>
          <w:highlight w:val="none"/>
        </w:rPr>
      </w:pPr>
    </w:p>
    <w:p w14:paraId="01EBD179">
      <w:pPr>
        <w:pStyle w:val="11"/>
        <w:spacing w:line="500" w:lineRule="exact"/>
        <w:ind w:left="980" w:hanging="560"/>
        <w:rPr>
          <w:rFonts w:hAnsi="宋体"/>
          <w:color w:val="auto"/>
          <w:sz w:val="28"/>
          <w:szCs w:val="28"/>
          <w:highlight w:val="none"/>
        </w:rPr>
      </w:pPr>
    </w:p>
    <w:p w14:paraId="5A6D847F">
      <w:pPr>
        <w:spacing w:line="500" w:lineRule="exact"/>
        <w:jc w:val="left"/>
        <w:outlineLvl w:val="9"/>
        <w:rPr>
          <w:rFonts w:hint="eastAsia" w:ascii="宋体" w:hAnsi="宋体"/>
          <w:b/>
          <w:color w:val="auto"/>
          <w:sz w:val="32"/>
          <w:szCs w:val="32"/>
          <w:highlight w:val="none"/>
          <w:lang w:eastAsia="zh-CN"/>
        </w:rPr>
      </w:pPr>
    </w:p>
    <w:p w14:paraId="7D6BEB63">
      <w:pPr>
        <w:spacing w:line="500" w:lineRule="exact"/>
        <w:jc w:val="center"/>
        <w:rPr>
          <w:rFonts w:hint="eastAsia" w:ascii="宋体" w:hAnsi="宋体"/>
          <w:b/>
          <w:color w:val="auto"/>
          <w:sz w:val="36"/>
          <w:szCs w:val="36"/>
          <w:highlight w:val="none"/>
          <w:lang w:val="en-US" w:eastAsia="zh-CN"/>
        </w:rPr>
      </w:pPr>
    </w:p>
    <w:p w14:paraId="7EBD95FB">
      <w:pPr>
        <w:spacing w:line="500" w:lineRule="exact"/>
        <w:jc w:val="center"/>
        <w:rPr>
          <w:rFonts w:hint="eastAsia" w:ascii="宋体" w:hAnsi="宋体"/>
          <w:b/>
          <w:color w:val="auto"/>
          <w:sz w:val="36"/>
          <w:szCs w:val="36"/>
          <w:highlight w:val="none"/>
          <w:lang w:val="en-US" w:eastAsia="zh-CN"/>
        </w:rPr>
      </w:pPr>
    </w:p>
    <w:p w14:paraId="4EEDAA14">
      <w:pPr>
        <w:spacing w:line="500" w:lineRule="exact"/>
        <w:jc w:val="center"/>
        <w:outlineLvl w:val="1"/>
        <w:rPr>
          <w:rFonts w:hint="eastAsia" w:ascii="宋体" w:hAnsi="宋体"/>
          <w:b/>
          <w:color w:val="auto"/>
          <w:sz w:val="36"/>
          <w:szCs w:val="36"/>
          <w:highlight w:val="none"/>
          <w:lang w:val="en-US" w:eastAsia="zh-CN"/>
        </w:rPr>
        <w:sectPr>
          <w:pgSz w:w="11911" w:h="16838"/>
          <w:pgMar w:top="850" w:right="1134" w:bottom="850" w:left="1134" w:header="283" w:footer="567" w:gutter="0"/>
          <w:pgNumType w:fmt="decimal"/>
          <w:cols w:space="720" w:num="1"/>
          <w:titlePg/>
          <w:docGrid w:linePitch="312" w:charSpace="0"/>
        </w:sectPr>
      </w:pPr>
      <w:bookmarkStart w:id="119" w:name="_Toc7521"/>
    </w:p>
    <w:p w14:paraId="29D62943">
      <w:pPr>
        <w:spacing w:line="500" w:lineRule="exact"/>
        <w:jc w:val="center"/>
        <w:outlineLvl w:val="1"/>
        <w:rPr>
          <w:rFonts w:ascii="宋体" w:hAnsi="宋体"/>
          <w:b/>
          <w:color w:val="auto"/>
          <w:sz w:val="32"/>
          <w:szCs w:val="32"/>
          <w:highlight w:val="none"/>
        </w:rPr>
      </w:pPr>
      <w:bookmarkStart w:id="120" w:name="_Toc15703"/>
      <w:r>
        <w:rPr>
          <w:rFonts w:hint="eastAsia" w:ascii="宋体" w:hAnsi="宋体"/>
          <w:b/>
          <w:color w:val="auto"/>
          <w:sz w:val="36"/>
          <w:szCs w:val="36"/>
          <w:highlight w:val="none"/>
          <w:lang w:val="en-US" w:eastAsia="zh-CN"/>
        </w:rPr>
        <w:t xml:space="preserve">磋 商 </w:t>
      </w:r>
      <w:r>
        <w:rPr>
          <w:rFonts w:hint="eastAsia" w:ascii="宋体" w:hAnsi="宋体"/>
          <w:b/>
          <w:color w:val="auto"/>
          <w:sz w:val="36"/>
          <w:szCs w:val="36"/>
          <w:highlight w:val="none"/>
        </w:rPr>
        <w:t>报 价 表</w:t>
      </w:r>
      <w:bookmarkEnd w:id="119"/>
      <w:bookmarkEnd w:id="120"/>
    </w:p>
    <w:p w14:paraId="4C51DD5A">
      <w:pPr>
        <w:spacing w:line="500" w:lineRule="exact"/>
        <w:ind w:firstLine="280" w:firstLineChars="100"/>
        <w:rPr>
          <w:rFonts w:hint="eastAsia" w:ascii="宋体" w:hAnsi="宋体"/>
          <w:color w:val="auto"/>
          <w:sz w:val="28"/>
          <w:szCs w:val="28"/>
          <w:highlight w:val="none"/>
          <w:u w:val="single"/>
        </w:rPr>
      </w:pPr>
      <w:r>
        <w:rPr>
          <w:rFonts w:hint="eastAsia" w:ascii="宋体" w:hAnsi="宋体"/>
          <w:color w:val="auto"/>
          <w:sz w:val="28"/>
          <w:szCs w:val="28"/>
          <w:highlight w:val="none"/>
        </w:rPr>
        <w:t>采购项目名称</w:t>
      </w:r>
      <w:r>
        <w:rPr>
          <w:rFonts w:hint="eastAsia" w:ascii="宋体" w:hAnsi="宋体"/>
          <w:color w:val="auto"/>
          <w:sz w:val="28"/>
          <w:szCs w:val="28"/>
          <w:highlight w:val="none"/>
          <w:lang w:eastAsia="zh-CN"/>
        </w:rPr>
        <w:t>：</w:t>
      </w:r>
      <w:r>
        <w:rPr>
          <w:rFonts w:hint="eastAsia" w:ascii="宋体" w:hAnsi="宋体"/>
          <w:color w:val="auto"/>
          <w:sz w:val="28"/>
          <w:szCs w:val="28"/>
          <w:highlight w:val="none"/>
          <w:u w:val="single"/>
        </w:rPr>
        <w:t xml:space="preserve">                        </w:t>
      </w:r>
    </w:p>
    <w:tbl>
      <w:tblPr>
        <w:tblStyle w:val="16"/>
        <w:tblpPr w:leftFromText="180" w:rightFromText="180" w:vertAnchor="text" w:horzAnchor="page" w:tblpX="1484" w:tblpY="480"/>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18"/>
        <w:gridCol w:w="5746"/>
      </w:tblGrid>
      <w:tr w14:paraId="3687BB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8" w:hRule="atLeast"/>
        </w:trPr>
        <w:tc>
          <w:tcPr>
            <w:tcW w:w="3018" w:type="dxa"/>
            <w:noWrap w:val="0"/>
            <w:vAlign w:val="center"/>
          </w:tcPr>
          <w:p w14:paraId="770965E8">
            <w:pPr>
              <w:spacing w:line="500" w:lineRule="exact"/>
              <w:jc w:val="center"/>
              <w:rPr>
                <w:rFonts w:ascii="宋体" w:hAnsi="宋体"/>
                <w:b/>
                <w:color w:val="auto"/>
                <w:sz w:val="28"/>
                <w:szCs w:val="28"/>
                <w:highlight w:val="none"/>
              </w:rPr>
            </w:pPr>
            <w:r>
              <w:rPr>
                <w:rFonts w:ascii="宋体" w:hAnsi="宋体"/>
                <w:color w:val="auto"/>
                <w:sz w:val="28"/>
                <w:szCs w:val="28"/>
                <w:highlight w:val="none"/>
              </w:rPr>
              <w:t xml:space="preserve"> </w:t>
            </w:r>
            <w:r>
              <w:rPr>
                <w:rFonts w:hint="eastAsia" w:ascii="宋体" w:hAnsi="宋体"/>
                <w:b/>
                <w:color w:val="auto"/>
                <w:sz w:val="28"/>
                <w:szCs w:val="28"/>
                <w:highlight w:val="none"/>
              </w:rPr>
              <w:t>名称</w:t>
            </w:r>
          </w:p>
        </w:tc>
        <w:tc>
          <w:tcPr>
            <w:tcW w:w="5746" w:type="dxa"/>
            <w:noWrap w:val="0"/>
            <w:vAlign w:val="center"/>
          </w:tcPr>
          <w:p w14:paraId="10BF42AD">
            <w:pPr>
              <w:spacing w:line="500" w:lineRule="exact"/>
              <w:jc w:val="center"/>
              <w:rPr>
                <w:rFonts w:ascii="宋体" w:hAnsi="宋体"/>
                <w:b/>
                <w:color w:val="auto"/>
                <w:sz w:val="28"/>
                <w:szCs w:val="28"/>
                <w:highlight w:val="none"/>
              </w:rPr>
            </w:pPr>
            <w:r>
              <w:rPr>
                <w:rFonts w:hint="eastAsia" w:ascii="宋体" w:hAnsi="宋体"/>
                <w:b/>
                <w:color w:val="auto"/>
                <w:sz w:val="28"/>
                <w:szCs w:val="28"/>
                <w:highlight w:val="none"/>
              </w:rPr>
              <w:t>内容</w:t>
            </w:r>
          </w:p>
        </w:tc>
      </w:tr>
      <w:tr w14:paraId="68A121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44" w:hRule="atLeast"/>
        </w:trPr>
        <w:tc>
          <w:tcPr>
            <w:tcW w:w="3018" w:type="dxa"/>
            <w:noWrap w:val="0"/>
            <w:vAlign w:val="center"/>
          </w:tcPr>
          <w:p w14:paraId="407CE11B">
            <w:pPr>
              <w:spacing w:line="500" w:lineRule="exact"/>
              <w:jc w:val="center"/>
              <w:rPr>
                <w:rFonts w:hint="eastAsia" w:ascii="宋体" w:hAnsi="宋体" w:eastAsia="宋体"/>
                <w:color w:val="auto"/>
                <w:sz w:val="28"/>
                <w:szCs w:val="28"/>
                <w:highlight w:val="none"/>
                <w:lang w:eastAsia="zh-CN"/>
              </w:rPr>
            </w:pPr>
            <w:r>
              <w:rPr>
                <w:rFonts w:hint="eastAsia" w:ascii="宋体" w:hAnsi="宋体"/>
                <w:color w:val="auto"/>
                <w:sz w:val="28"/>
                <w:szCs w:val="28"/>
                <w:highlight w:val="none"/>
              </w:rPr>
              <w:t>磋商报价</w:t>
            </w:r>
            <w:r>
              <w:rPr>
                <w:rFonts w:hint="eastAsia" w:ascii="宋体" w:hAnsi="宋体"/>
                <w:color w:val="auto"/>
                <w:sz w:val="28"/>
                <w:szCs w:val="28"/>
                <w:highlight w:val="none"/>
                <w:lang w:eastAsia="zh-CN"/>
              </w:rPr>
              <w:t>（元）</w:t>
            </w:r>
          </w:p>
        </w:tc>
        <w:tc>
          <w:tcPr>
            <w:tcW w:w="5746" w:type="dxa"/>
            <w:noWrap w:val="0"/>
            <w:vAlign w:val="center"/>
          </w:tcPr>
          <w:p w14:paraId="7C1E5602">
            <w:pP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大写：</w:t>
            </w:r>
          </w:p>
          <w:p w14:paraId="7FB2670A">
            <w:pPr>
              <w:pStyle w:val="5"/>
              <w:ind w:left="0" w:leftChars="0" w:firstLine="0" w:firstLineChars="0"/>
              <w:rPr>
                <w:rFonts w:hint="default"/>
                <w:highlight w:val="none"/>
                <w:lang w:val="en-US" w:eastAsia="zh-CN"/>
              </w:rPr>
            </w:pPr>
            <w:r>
              <w:rPr>
                <w:rFonts w:hint="eastAsia" w:ascii="宋体" w:hAnsi="宋体" w:cs="宋体"/>
                <w:b w:val="0"/>
                <w:bCs w:val="0"/>
                <w:color w:val="auto"/>
                <w:sz w:val="28"/>
                <w:szCs w:val="28"/>
                <w:highlight w:val="none"/>
                <w:lang w:val="en-US" w:eastAsia="zh-CN"/>
              </w:rPr>
              <w:t>小写：</w:t>
            </w:r>
          </w:p>
        </w:tc>
      </w:tr>
      <w:tr w14:paraId="138FFB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3018" w:type="dxa"/>
            <w:noWrap w:val="0"/>
            <w:vAlign w:val="center"/>
          </w:tcPr>
          <w:p w14:paraId="3BBB517E">
            <w:pPr>
              <w:spacing w:line="500" w:lineRule="exact"/>
              <w:jc w:val="center"/>
              <w:rPr>
                <w:rFonts w:hint="eastAsia" w:ascii="宋体" w:hAnsi="宋体" w:eastAsia="宋体"/>
                <w:color w:val="auto"/>
                <w:sz w:val="28"/>
                <w:szCs w:val="28"/>
                <w:highlight w:val="none"/>
                <w:lang w:eastAsia="zh-CN"/>
              </w:rPr>
            </w:pPr>
            <w:r>
              <w:rPr>
                <w:rFonts w:hint="eastAsia" w:ascii="宋体" w:hAnsi="宋体"/>
                <w:color w:val="auto"/>
                <w:sz w:val="28"/>
                <w:szCs w:val="28"/>
                <w:highlight w:val="none"/>
                <w:lang w:eastAsia="zh-CN"/>
              </w:rPr>
              <w:t>合同履行期限</w:t>
            </w:r>
          </w:p>
        </w:tc>
        <w:tc>
          <w:tcPr>
            <w:tcW w:w="5746" w:type="dxa"/>
            <w:noWrap w:val="0"/>
            <w:vAlign w:val="center"/>
          </w:tcPr>
          <w:p w14:paraId="42351EEC">
            <w:pPr>
              <w:spacing w:line="500" w:lineRule="exact"/>
              <w:jc w:val="center"/>
              <w:rPr>
                <w:rFonts w:ascii="宋体" w:hAnsi="宋体"/>
                <w:color w:val="auto"/>
                <w:sz w:val="28"/>
                <w:szCs w:val="28"/>
                <w:highlight w:val="none"/>
              </w:rPr>
            </w:pPr>
          </w:p>
        </w:tc>
      </w:tr>
      <w:tr w14:paraId="3AB6C3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3018" w:type="dxa"/>
            <w:noWrap w:val="0"/>
            <w:vAlign w:val="center"/>
          </w:tcPr>
          <w:p w14:paraId="273C2EAD">
            <w:pPr>
              <w:spacing w:line="500" w:lineRule="exact"/>
              <w:jc w:val="center"/>
              <w:rPr>
                <w:rFonts w:hint="eastAsia" w:ascii="宋体" w:hAnsi="宋体"/>
                <w:color w:val="auto"/>
                <w:sz w:val="28"/>
                <w:szCs w:val="28"/>
                <w:highlight w:val="none"/>
              </w:rPr>
            </w:pPr>
            <w:r>
              <w:rPr>
                <w:rFonts w:hint="eastAsia" w:ascii="宋体" w:hAnsi="宋体" w:eastAsia="宋体" w:cs="宋体"/>
                <w:b w:val="0"/>
                <w:bCs w:val="0"/>
                <w:color w:val="auto"/>
                <w:sz w:val="28"/>
                <w:szCs w:val="28"/>
                <w:highlight w:val="none"/>
                <w:lang w:eastAsia="zh-CN"/>
              </w:rPr>
              <w:t>质量要求</w:t>
            </w:r>
          </w:p>
        </w:tc>
        <w:tc>
          <w:tcPr>
            <w:tcW w:w="5746" w:type="dxa"/>
            <w:noWrap w:val="0"/>
            <w:vAlign w:val="center"/>
          </w:tcPr>
          <w:p w14:paraId="08A30335">
            <w:pPr>
              <w:spacing w:line="500" w:lineRule="exact"/>
              <w:jc w:val="center"/>
              <w:rPr>
                <w:rFonts w:ascii="宋体" w:hAnsi="宋体"/>
                <w:color w:val="auto"/>
                <w:sz w:val="28"/>
                <w:szCs w:val="28"/>
                <w:highlight w:val="none"/>
              </w:rPr>
            </w:pPr>
          </w:p>
        </w:tc>
      </w:tr>
      <w:tr w14:paraId="03B478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3018" w:type="dxa"/>
            <w:noWrap w:val="0"/>
            <w:vAlign w:val="center"/>
          </w:tcPr>
          <w:p w14:paraId="112DACC2">
            <w:pPr>
              <w:spacing w:line="500" w:lineRule="exact"/>
              <w:jc w:val="center"/>
              <w:rPr>
                <w:rFonts w:hint="eastAsia" w:ascii="宋体" w:hAnsi="宋体"/>
                <w:color w:val="auto"/>
                <w:sz w:val="28"/>
                <w:szCs w:val="28"/>
                <w:highlight w:val="none"/>
                <w:lang w:eastAsia="zh-CN"/>
              </w:rPr>
            </w:pPr>
            <w:r>
              <w:rPr>
                <w:rFonts w:hint="eastAsia" w:ascii="宋体" w:hAnsi="宋体"/>
                <w:color w:val="auto"/>
                <w:sz w:val="28"/>
                <w:szCs w:val="28"/>
                <w:highlight w:val="none"/>
                <w:lang w:eastAsia="zh-CN"/>
              </w:rPr>
              <w:t>项目负责人</w:t>
            </w:r>
          </w:p>
        </w:tc>
        <w:tc>
          <w:tcPr>
            <w:tcW w:w="5746" w:type="dxa"/>
            <w:noWrap w:val="0"/>
            <w:vAlign w:val="center"/>
          </w:tcPr>
          <w:p w14:paraId="3FA05AD2">
            <w:pPr>
              <w:spacing w:line="500" w:lineRule="exact"/>
              <w:jc w:val="center"/>
              <w:rPr>
                <w:rFonts w:ascii="宋体" w:hAnsi="宋体"/>
                <w:color w:val="auto"/>
                <w:sz w:val="28"/>
                <w:szCs w:val="28"/>
                <w:highlight w:val="none"/>
              </w:rPr>
            </w:pPr>
          </w:p>
        </w:tc>
      </w:tr>
    </w:tbl>
    <w:p w14:paraId="507D3A9C">
      <w:pPr>
        <w:pStyle w:val="11"/>
        <w:spacing w:line="500" w:lineRule="exact"/>
        <w:ind w:firstLine="720"/>
        <w:rPr>
          <w:rFonts w:hint="eastAsia" w:hAnsi="宋体"/>
          <w:color w:val="auto"/>
          <w:sz w:val="28"/>
          <w:szCs w:val="28"/>
          <w:highlight w:val="none"/>
        </w:rPr>
      </w:pPr>
    </w:p>
    <w:p w14:paraId="0EB358A9">
      <w:pPr>
        <w:rPr>
          <w:rFonts w:hint="eastAsia" w:hAnsi="宋体"/>
          <w:color w:val="auto"/>
          <w:sz w:val="28"/>
          <w:szCs w:val="28"/>
          <w:highlight w:val="none"/>
        </w:rPr>
      </w:pPr>
    </w:p>
    <w:p w14:paraId="7E6B1AAB">
      <w:pPr>
        <w:rPr>
          <w:rFonts w:hint="eastAsia" w:hAnsi="宋体"/>
          <w:color w:val="auto"/>
          <w:sz w:val="28"/>
          <w:szCs w:val="28"/>
          <w:highlight w:val="none"/>
        </w:rPr>
      </w:pPr>
    </w:p>
    <w:p w14:paraId="1EA2F546">
      <w:pPr>
        <w:rPr>
          <w:rFonts w:hint="eastAsia" w:hAnsi="宋体"/>
          <w:color w:val="auto"/>
          <w:sz w:val="28"/>
          <w:szCs w:val="28"/>
          <w:highlight w:val="none"/>
        </w:rPr>
      </w:pPr>
    </w:p>
    <w:p w14:paraId="0F23480A">
      <w:pPr>
        <w:rPr>
          <w:rFonts w:hint="eastAsia" w:hAnsi="宋体"/>
          <w:color w:val="auto"/>
          <w:sz w:val="28"/>
          <w:szCs w:val="28"/>
          <w:highlight w:val="none"/>
        </w:rPr>
      </w:pPr>
    </w:p>
    <w:p w14:paraId="223DD078">
      <w:pPr>
        <w:rPr>
          <w:rFonts w:hint="eastAsia" w:hAnsi="宋体"/>
          <w:color w:val="auto"/>
          <w:sz w:val="28"/>
          <w:szCs w:val="28"/>
          <w:highlight w:val="none"/>
        </w:rPr>
      </w:pPr>
    </w:p>
    <w:p w14:paraId="48888DF1">
      <w:pPr>
        <w:rPr>
          <w:rFonts w:hint="eastAsia" w:hAnsi="宋体"/>
          <w:color w:val="auto"/>
          <w:sz w:val="28"/>
          <w:szCs w:val="28"/>
          <w:highlight w:val="none"/>
        </w:rPr>
      </w:pPr>
    </w:p>
    <w:p w14:paraId="15237C2F">
      <w:pPr>
        <w:rPr>
          <w:rFonts w:hint="eastAsia" w:hAnsi="宋体"/>
          <w:color w:val="auto"/>
          <w:sz w:val="28"/>
          <w:szCs w:val="28"/>
          <w:highlight w:val="none"/>
        </w:rPr>
      </w:pPr>
    </w:p>
    <w:p w14:paraId="0184EA4A">
      <w:pPr>
        <w:rPr>
          <w:rFonts w:hint="eastAsia" w:hAnsi="宋体"/>
          <w:color w:val="auto"/>
          <w:sz w:val="28"/>
          <w:szCs w:val="28"/>
          <w:highlight w:val="none"/>
        </w:rPr>
      </w:pPr>
    </w:p>
    <w:p w14:paraId="52F3C5E8">
      <w:pPr>
        <w:rPr>
          <w:rFonts w:hint="eastAsia" w:hAnsi="宋体"/>
          <w:color w:val="auto"/>
          <w:sz w:val="28"/>
          <w:szCs w:val="28"/>
          <w:highlight w:val="none"/>
        </w:rPr>
      </w:pPr>
    </w:p>
    <w:p w14:paraId="12165C91">
      <w:pPr>
        <w:pStyle w:val="11"/>
        <w:keepNext w:val="0"/>
        <w:keepLines w:val="0"/>
        <w:pageBreakBefore w:val="0"/>
        <w:widowControl w:val="0"/>
        <w:kinsoku/>
        <w:wordWrap/>
        <w:overflowPunct/>
        <w:topLinePunct w:val="0"/>
        <w:autoSpaceDE/>
        <w:autoSpaceDN/>
        <w:bidi w:val="0"/>
        <w:adjustRightInd/>
        <w:snapToGrid/>
        <w:spacing w:line="700" w:lineRule="exact"/>
        <w:textAlignment w:val="auto"/>
        <w:rPr>
          <w:rFonts w:hint="eastAsia" w:hAnsi="宋体"/>
          <w:color w:val="auto"/>
          <w:sz w:val="28"/>
          <w:szCs w:val="28"/>
          <w:highlight w:val="none"/>
        </w:rPr>
      </w:pPr>
    </w:p>
    <w:p w14:paraId="1C7D4DE1">
      <w:pPr>
        <w:pStyle w:val="11"/>
        <w:keepNext w:val="0"/>
        <w:keepLines w:val="0"/>
        <w:pageBreakBefore w:val="0"/>
        <w:widowControl w:val="0"/>
        <w:kinsoku/>
        <w:wordWrap/>
        <w:overflowPunct/>
        <w:topLinePunct w:val="0"/>
        <w:autoSpaceDE/>
        <w:autoSpaceDN/>
        <w:bidi w:val="0"/>
        <w:adjustRightInd/>
        <w:snapToGrid/>
        <w:spacing w:line="700" w:lineRule="exact"/>
        <w:textAlignment w:val="auto"/>
        <w:rPr>
          <w:rFonts w:hint="eastAsia" w:hAnsi="宋体"/>
          <w:color w:val="auto"/>
          <w:sz w:val="28"/>
          <w:szCs w:val="28"/>
          <w:highlight w:val="none"/>
        </w:rPr>
      </w:pPr>
    </w:p>
    <w:p w14:paraId="7A4648BD">
      <w:pPr>
        <w:pStyle w:val="11"/>
        <w:keepNext w:val="0"/>
        <w:keepLines w:val="0"/>
        <w:pageBreakBefore w:val="0"/>
        <w:widowControl w:val="0"/>
        <w:kinsoku/>
        <w:wordWrap/>
        <w:overflowPunct/>
        <w:topLinePunct w:val="0"/>
        <w:autoSpaceDE/>
        <w:autoSpaceDN/>
        <w:bidi w:val="0"/>
        <w:adjustRightInd/>
        <w:snapToGrid/>
        <w:spacing w:line="700" w:lineRule="exact"/>
        <w:ind w:firstLine="280" w:firstLineChars="100"/>
        <w:textAlignment w:val="auto"/>
        <w:rPr>
          <w:rFonts w:hint="eastAsia" w:hAnsi="宋体"/>
          <w:color w:val="auto"/>
          <w:sz w:val="28"/>
          <w:szCs w:val="28"/>
          <w:highlight w:val="none"/>
        </w:rPr>
      </w:pPr>
    </w:p>
    <w:p w14:paraId="26EAA0BE">
      <w:pPr>
        <w:pStyle w:val="11"/>
        <w:keepNext w:val="0"/>
        <w:keepLines w:val="0"/>
        <w:pageBreakBefore w:val="0"/>
        <w:widowControl w:val="0"/>
        <w:kinsoku/>
        <w:wordWrap/>
        <w:overflowPunct/>
        <w:topLinePunct w:val="0"/>
        <w:autoSpaceDE/>
        <w:autoSpaceDN/>
        <w:bidi w:val="0"/>
        <w:adjustRightInd/>
        <w:snapToGrid/>
        <w:spacing w:line="700" w:lineRule="exact"/>
        <w:ind w:firstLine="280" w:firstLineChars="100"/>
        <w:textAlignment w:val="auto"/>
        <w:rPr>
          <w:rFonts w:hint="eastAsia" w:hAnsi="宋体"/>
          <w:color w:val="auto"/>
          <w:sz w:val="28"/>
          <w:szCs w:val="28"/>
          <w:highlight w:val="none"/>
        </w:rPr>
      </w:pPr>
    </w:p>
    <w:p w14:paraId="2BA643F7">
      <w:pPr>
        <w:pStyle w:val="11"/>
        <w:keepNext w:val="0"/>
        <w:keepLines w:val="0"/>
        <w:pageBreakBefore w:val="0"/>
        <w:widowControl w:val="0"/>
        <w:kinsoku/>
        <w:wordWrap/>
        <w:overflowPunct/>
        <w:topLinePunct w:val="0"/>
        <w:autoSpaceDE/>
        <w:autoSpaceDN/>
        <w:bidi w:val="0"/>
        <w:adjustRightInd/>
        <w:snapToGrid/>
        <w:spacing w:line="700" w:lineRule="exact"/>
        <w:ind w:firstLine="280" w:firstLineChars="100"/>
        <w:textAlignment w:val="auto"/>
        <w:rPr>
          <w:rFonts w:hint="eastAsia" w:hAnsi="宋体"/>
          <w:color w:val="auto"/>
          <w:sz w:val="28"/>
          <w:szCs w:val="28"/>
          <w:highlight w:val="none"/>
        </w:rPr>
      </w:pPr>
      <w:r>
        <w:rPr>
          <w:rFonts w:hint="eastAsia" w:hAnsi="宋体"/>
          <w:color w:val="auto"/>
          <w:sz w:val="28"/>
          <w:szCs w:val="28"/>
          <w:highlight w:val="none"/>
        </w:rPr>
        <w:t>供应商名称（</w:t>
      </w:r>
      <w:r>
        <w:rPr>
          <w:rFonts w:hint="eastAsia" w:hAnsi="宋体"/>
          <w:color w:val="auto"/>
          <w:sz w:val="28"/>
          <w:szCs w:val="28"/>
          <w:highlight w:val="none"/>
          <w:lang w:eastAsia="zh-CN"/>
        </w:rPr>
        <w:t>盖章</w:t>
      </w:r>
      <w:r>
        <w:rPr>
          <w:rFonts w:hint="eastAsia" w:hAnsi="宋体"/>
          <w:color w:val="auto"/>
          <w:sz w:val="28"/>
          <w:szCs w:val="28"/>
          <w:highlight w:val="none"/>
        </w:rPr>
        <w:t>）：</w:t>
      </w:r>
    </w:p>
    <w:p w14:paraId="5238628D">
      <w:pPr>
        <w:pStyle w:val="11"/>
        <w:keepNext w:val="0"/>
        <w:keepLines w:val="0"/>
        <w:pageBreakBefore w:val="0"/>
        <w:widowControl w:val="0"/>
        <w:kinsoku/>
        <w:wordWrap/>
        <w:overflowPunct/>
        <w:topLinePunct w:val="0"/>
        <w:autoSpaceDE/>
        <w:autoSpaceDN/>
        <w:bidi w:val="0"/>
        <w:adjustRightInd/>
        <w:snapToGrid/>
        <w:spacing w:line="700" w:lineRule="exact"/>
        <w:ind w:firstLine="280" w:firstLineChars="100"/>
        <w:textAlignment w:val="auto"/>
        <w:rPr>
          <w:rFonts w:hAnsi="宋体"/>
          <w:color w:val="auto"/>
          <w:sz w:val="28"/>
          <w:szCs w:val="28"/>
          <w:highlight w:val="none"/>
          <w:u w:val="single"/>
        </w:rPr>
      </w:pPr>
      <w:r>
        <w:rPr>
          <w:rFonts w:hint="eastAsia" w:hAnsi="宋体"/>
          <w:color w:val="auto"/>
          <w:sz w:val="28"/>
          <w:szCs w:val="28"/>
          <w:highlight w:val="none"/>
        </w:rPr>
        <w:t>供应商法定代表人（</w:t>
      </w:r>
      <w:r>
        <w:rPr>
          <w:rFonts w:hint="eastAsia" w:hAnsi="宋体"/>
          <w:color w:val="auto"/>
          <w:sz w:val="28"/>
          <w:szCs w:val="28"/>
          <w:highlight w:val="none"/>
          <w:lang w:eastAsia="zh-CN"/>
        </w:rPr>
        <w:t>盖章或签字</w:t>
      </w:r>
      <w:r>
        <w:rPr>
          <w:rFonts w:hint="eastAsia" w:hAnsi="宋体"/>
          <w:color w:val="auto"/>
          <w:sz w:val="28"/>
          <w:szCs w:val="28"/>
          <w:highlight w:val="none"/>
        </w:rPr>
        <w:t>）</w:t>
      </w:r>
      <w:r>
        <w:rPr>
          <w:rFonts w:hint="eastAsia" w:hAnsi="宋体"/>
          <w:color w:val="auto"/>
          <w:sz w:val="28"/>
          <w:szCs w:val="28"/>
          <w:highlight w:val="none"/>
          <w:lang w:eastAsia="zh-CN"/>
        </w:rPr>
        <w:t>：</w:t>
      </w:r>
      <w:r>
        <w:rPr>
          <w:rFonts w:hint="eastAsia" w:hAnsi="宋体"/>
          <w:color w:val="auto"/>
          <w:sz w:val="28"/>
          <w:szCs w:val="28"/>
          <w:highlight w:val="none"/>
          <w:u w:val="single"/>
        </w:rPr>
        <w:t xml:space="preserve">              </w:t>
      </w:r>
    </w:p>
    <w:p w14:paraId="2146D185">
      <w:pPr>
        <w:pStyle w:val="11"/>
        <w:keepNext w:val="0"/>
        <w:keepLines w:val="0"/>
        <w:pageBreakBefore w:val="0"/>
        <w:widowControl w:val="0"/>
        <w:kinsoku/>
        <w:wordWrap/>
        <w:overflowPunct/>
        <w:topLinePunct w:val="0"/>
        <w:autoSpaceDE/>
        <w:autoSpaceDN/>
        <w:bidi w:val="0"/>
        <w:adjustRightInd/>
        <w:snapToGrid/>
        <w:spacing w:line="700" w:lineRule="exact"/>
        <w:ind w:firstLine="280" w:firstLineChars="100"/>
        <w:textAlignment w:val="auto"/>
        <w:rPr>
          <w:rFonts w:hAnsi="宋体"/>
          <w:color w:val="auto"/>
          <w:sz w:val="28"/>
          <w:szCs w:val="28"/>
          <w:highlight w:val="none"/>
          <w:u w:val="single"/>
        </w:rPr>
      </w:pPr>
      <w:r>
        <w:rPr>
          <w:rFonts w:hint="eastAsia" w:hAnsi="宋体"/>
          <w:color w:val="auto"/>
          <w:sz w:val="28"/>
          <w:szCs w:val="28"/>
          <w:highlight w:val="none"/>
        </w:rPr>
        <w:t>日期：</w:t>
      </w:r>
      <w:r>
        <w:rPr>
          <w:rFonts w:hint="eastAsia" w:hAnsi="宋体"/>
          <w:color w:val="auto"/>
          <w:sz w:val="28"/>
          <w:szCs w:val="28"/>
          <w:highlight w:val="none"/>
          <w:u w:val="single"/>
        </w:rPr>
        <w:t xml:space="preserve">      </w:t>
      </w:r>
      <w:r>
        <w:rPr>
          <w:rFonts w:hint="eastAsia" w:hAnsi="宋体"/>
          <w:color w:val="auto"/>
          <w:sz w:val="28"/>
          <w:szCs w:val="28"/>
          <w:highlight w:val="none"/>
        </w:rPr>
        <w:t>年</w:t>
      </w:r>
      <w:r>
        <w:rPr>
          <w:rFonts w:hint="eastAsia" w:hAnsi="宋体"/>
          <w:color w:val="auto"/>
          <w:sz w:val="28"/>
          <w:szCs w:val="28"/>
          <w:highlight w:val="none"/>
          <w:u w:val="single"/>
        </w:rPr>
        <w:t xml:space="preserve">     </w:t>
      </w:r>
      <w:r>
        <w:rPr>
          <w:rFonts w:hint="eastAsia" w:hAnsi="宋体"/>
          <w:color w:val="auto"/>
          <w:sz w:val="28"/>
          <w:szCs w:val="28"/>
          <w:highlight w:val="none"/>
        </w:rPr>
        <w:t>月</w:t>
      </w:r>
      <w:r>
        <w:rPr>
          <w:rFonts w:hint="eastAsia" w:hAnsi="宋体"/>
          <w:color w:val="auto"/>
          <w:sz w:val="28"/>
          <w:szCs w:val="28"/>
          <w:highlight w:val="none"/>
          <w:u w:val="single"/>
        </w:rPr>
        <w:t xml:space="preserve">    </w:t>
      </w:r>
      <w:r>
        <w:rPr>
          <w:rFonts w:hint="eastAsia" w:hAnsi="宋体"/>
          <w:color w:val="auto"/>
          <w:sz w:val="28"/>
          <w:szCs w:val="28"/>
          <w:highlight w:val="none"/>
        </w:rPr>
        <w:t xml:space="preserve">日 </w:t>
      </w:r>
    </w:p>
    <w:p w14:paraId="702ADC6F">
      <w:pPr>
        <w:spacing w:line="560" w:lineRule="exact"/>
        <w:jc w:val="both"/>
        <w:outlineLvl w:val="9"/>
        <w:rPr>
          <w:rFonts w:hint="eastAsia" w:ascii="宋体" w:hAnsi="宋体"/>
          <w:b/>
          <w:color w:val="auto"/>
          <w:kern w:val="2"/>
          <w:sz w:val="28"/>
          <w:szCs w:val="28"/>
          <w:highlight w:val="none"/>
          <w:lang w:val="en-US" w:eastAsia="zh-CN" w:bidi="ar-SA"/>
        </w:rPr>
      </w:pPr>
    </w:p>
    <w:p w14:paraId="66FC7D87">
      <w:pPr>
        <w:spacing w:line="560" w:lineRule="exact"/>
        <w:jc w:val="both"/>
        <w:outlineLvl w:val="9"/>
        <w:rPr>
          <w:rFonts w:hint="eastAsia" w:ascii="宋体" w:hAnsi="宋体"/>
          <w:b/>
          <w:color w:val="auto"/>
          <w:kern w:val="2"/>
          <w:sz w:val="28"/>
          <w:szCs w:val="28"/>
          <w:highlight w:val="none"/>
          <w:lang w:val="en-US" w:eastAsia="zh-CN" w:bidi="ar-SA"/>
        </w:rPr>
      </w:pPr>
    </w:p>
    <w:p w14:paraId="2EE5CA66">
      <w:pPr>
        <w:spacing w:line="560" w:lineRule="exact"/>
        <w:jc w:val="both"/>
        <w:outlineLvl w:val="9"/>
        <w:rPr>
          <w:rFonts w:hint="eastAsia" w:ascii="宋体" w:hAnsi="宋体"/>
          <w:b/>
          <w:color w:val="auto"/>
          <w:kern w:val="2"/>
          <w:sz w:val="28"/>
          <w:szCs w:val="28"/>
          <w:highlight w:val="none"/>
          <w:lang w:val="en-US" w:eastAsia="zh-CN" w:bidi="ar-SA"/>
        </w:rPr>
      </w:pPr>
    </w:p>
    <w:p w14:paraId="6D7B2EB3">
      <w:pPr>
        <w:pStyle w:val="5"/>
        <w:ind w:left="0" w:leftChars="0" w:firstLine="0" w:firstLineChars="0"/>
        <w:rPr>
          <w:rFonts w:hint="eastAsia" w:ascii="宋体" w:hAnsi="宋体"/>
          <w:b/>
          <w:color w:val="auto"/>
          <w:kern w:val="2"/>
          <w:sz w:val="28"/>
          <w:szCs w:val="28"/>
          <w:highlight w:val="none"/>
          <w:lang w:val="en-US" w:eastAsia="zh-CN" w:bidi="ar-SA"/>
        </w:rPr>
      </w:pPr>
    </w:p>
    <w:p w14:paraId="6A35B7E7">
      <w:pPr>
        <w:spacing w:line="560" w:lineRule="exact"/>
        <w:jc w:val="both"/>
        <w:outlineLvl w:val="9"/>
        <w:rPr>
          <w:rFonts w:hint="eastAsia" w:ascii="宋体" w:hAnsi="宋体"/>
          <w:b/>
          <w:color w:val="auto"/>
          <w:kern w:val="2"/>
          <w:sz w:val="28"/>
          <w:szCs w:val="28"/>
          <w:highlight w:val="none"/>
          <w:lang w:val="en-US" w:eastAsia="zh-CN" w:bidi="ar-SA"/>
        </w:rPr>
      </w:pPr>
    </w:p>
    <w:p w14:paraId="787FB51F">
      <w:pPr>
        <w:rPr>
          <w:rFonts w:hint="eastAsia" w:ascii="宋体" w:hAnsi="宋体"/>
          <w:b/>
          <w:color w:val="auto"/>
          <w:kern w:val="2"/>
          <w:sz w:val="28"/>
          <w:szCs w:val="28"/>
          <w:highlight w:val="none"/>
          <w:lang w:val="en-US" w:eastAsia="zh-CN" w:bidi="ar-SA"/>
        </w:rPr>
      </w:pPr>
      <w:r>
        <w:rPr>
          <w:rFonts w:hint="eastAsia" w:ascii="宋体" w:hAnsi="宋体"/>
          <w:b/>
          <w:color w:val="auto"/>
          <w:kern w:val="2"/>
          <w:sz w:val="28"/>
          <w:szCs w:val="28"/>
          <w:highlight w:val="none"/>
          <w:lang w:val="en-US" w:eastAsia="zh-CN" w:bidi="ar-SA"/>
        </w:rPr>
        <w:br w:type="page"/>
      </w:r>
    </w:p>
    <w:p w14:paraId="6DD081D8">
      <w:pPr>
        <w:pStyle w:val="31"/>
        <w:adjustRightInd w:val="0"/>
        <w:snapToGrid w:val="0"/>
        <w:spacing w:line="500" w:lineRule="exact"/>
        <w:jc w:val="center"/>
        <w:outlineLvl w:val="1"/>
        <w:rPr>
          <w:rFonts w:hint="eastAsia"/>
          <w:b/>
          <w:bCs/>
          <w:color w:val="auto"/>
          <w:sz w:val="30"/>
          <w:szCs w:val="30"/>
          <w:highlight w:val="none"/>
          <w:lang w:val="en-US" w:eastAsia="zh-CN"/>
        </w:rPr>
      </w:pPr>
      <w:bookmarkStart w:id="121" w:name="_Toc14772"/>
      <w:bookmarkStart w:id="122" w:name="_Toc3414"/>
      <w:bookmarkStart w:id="123" w:name="_Toc31644"/>
      <w:r>
        <w:rPr>
          <w:rFonts w:hint="eastAsia"/>
          <w:b/>
          <w:bCs/>
          <w:color w:val="auto"/>
          <w:sz w:val="30"/>
          <w:szCs w:val="30"/>
          <w:highlight w:val="none"/>
          <w:lang w:val="en-US" w:eastAsia="zh-CN"/>
        </w:rPr>
        <w:t>分项报价明细表</w:t>
      </w:r>
      <w:bookmarkEnd w:id="121"/>
      <w:bookmarkEnd w:id="122"/>
    </w:p>
    <w:p w14:paraId="0A056BAA">
      <w:pPr>
        <w:spacing w:line="500" w:lineRule="exact"/>
        <w:ind w:firstLine="280" w:firstLineChars="100"/>
        <w:rPr>
          <w:rFonts w:hint="eastAsia" w:ascii="宋体" w:hAnsi="宋体"/>
          <w:color w:val="auto"/>
          <w:sz w:val="28"/>
          <w:szCs w:val="28"/>
          <w:highlight w:val="none"/>
          <w:u w:val="single"/>
        </w:rPr>
      </w:pPr>
      <w:r>
        <w:rPr>
          <w:rFonts w:hint="eastAsia" w:ascii="宋体" w:hAnsi="宋体"/>
          <w:color w:val="auto"/>
          <w:sz w:val="28"/>
          <w:szCs w:val="28"/>
          <w:highlight w:val="none"/>
        </w:rPr>
        <w:t>采购项目名称</w:t>
      </w:r>
      <w:r>
        <w:rPr>
          <w:rFonts w:hint="eastAsia" w:ascii="宋体" w:hAnsi="宋体"/>
          <w:color w:val="auto"/>
          <w:sz w:val="28"/>
          <w:szCs w:val="28"/>
          <w:highlight w:val="none"/>
          <w:lang w:eastAsia="zh-CN"/>
        </w:rPr>
        <w:t>：</w:t>
      </w:r>
      <w:r>
        <w:rPr>
          <w:rFonts w:hint="eastAsia" w:ascii="宋体" w:hAnsi="宋体"/>
          <w:color w:val="auto"/>
          <w:sz w:val="28"/>
          <w:szCs w:val="28"/>
          <w:highlight w:val="none"/>
          <w:u w:val="single"/>
        </w:rPr>
        <w:t xml:space="preserve">                        </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2"/>
        <w:gridCol w:w="2550"/>
        <w:gridCol w:w="1710"/>
        <w:gridCol w:w="4497"/>
      </w:tblGrid>
      <w:tr w14:paraId="18AFA2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12" w:type="dxa"/>
            <w:vAlign w:val="top"/>
          </w:tcPr>
          <w:p w14:paraId="03990200">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right="0" w:rightChars="0"/>
              <w:jc w:val="center"/>
              <w:textAlignment w:val="auto"/>
              <w:rPr>
                <w:rFonts w:hint="eastAsia" w:ascii="宋体" w:hAnsi="宋体" w:cs="宋体"/>
                <w:b w:val="0"/>
                <w:bCs w:val="0"/>
                <w:color w:val="auto"/>
                <w:sz w:val="28"/>
                <w:szCs w:val="28"/>
                <w:highlight w:val="none"/>
                <w:vertAlign w:val="baseline"/>
                <w:lang w:eastAsia="zh-CN"/>
              </w:rPr>
            </w:pPr>
            <w:r>
              <w:rPr>
                <w:rFonts w:hint="eastAsia" w:ascii="宋体" w:hAnsi="宋体" w:cs="宋体"/>
                <w:b w:val="0"/>
                <w:bCs w:val="0"/>
                <w:color w:val="auto"/>
                <w:sz w:val="28"/>
                <w:szCs w:val="28"/>
                <w:highlight w:val="none"/>
                <w:vertAlign w:val="baseline"/>
                <w:lang w:eastAsia="zh-CN"/>
              </w:rPr>
              <w:t>序号</w:t>
            </w:r>
          </w:p>
        </w:tc>
        <w:tc>
          <w:tcPr>
            <w:tcW w:w="2550" w:type="dxa"/>
            <w:vAlign w:val="top"/>
          </w:tcPr>
          <w:p w14:paraId="52A7C0BB">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right="0" w:rightChars="0"/>
              <w:jc w:val="center"/>
              <w:textAlignment w:val="auto"/>
              <w:rPr>
                <w:rFonts w:hint="eastAsia" w:ascii="宋体" w:hAnsi="宋体" w:cs="宋体"/>
                <w:b w:val="0"/>
                <w:bCs w:val="0"/>
                <w:color w:val="auto"/>
                <w:sz w:val="28"/>
                <w:szCs w:val="28"/>
                <w:highlight w:val="none"/>
                <w:vertAlign w:val="baseline"/>
                <w:lang w:eastAsia="zh-CN"/>
              </w:rPr>
            </w:pPr>
            <w:r>
              <w:rPr>
                <w:rFonts w:hint="eastAsia" w:ascii="宋体" w:hAnsi="宋体" w:cs="宋体"/>
                <w:b w:val="0"/>
                <w:bCs w:val="0"/>
                <w:color w:val="auto"/>
                <w:sz w:val="28"/>
                <w:szCs w:val="28"/>
                <w:highlight w:val="none"/>
                <w:vertAlign w:val="baseline"/>
                <w:lang w:eastAsia="zh-CN"/>
              </w:rPr>
              <w:t>名称</w:t>
            </w:r>
          </w:p>
        </w:tc>
        <w:tc>
          <w:tcPr>
            <w:tcW w:w="1710" w:type="dxa"/>
            <w:vAlign w:val="top"/>
          </w:tcPr>
          <w:p w14:paraId="2257222E">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right="0" w:rightChars="0"/>
              <w:jc w:val="center"/>
              <w:textAlignment w:val="auto"/>
              <w:rPr>
                <w:rFonts w:hint="eastAsia" w:ascii="宋体" w:hAnsi="宋体" w:cs="宋体"/>
                <w:b w:val="0"/>
                <w:bCs w:val="0"/>
                <w:color w:val="auto"/>
                <w:sz w:val="28"/>
                <w:szCs w:val="28"/>
                <w:highlight w:val="none"/>
                <w:vertAlign w:val="baseline"/>
                <w:lang w:eastAsia="zh-CN"/>
              </w:rPr>
            </w:pPr>
            <w:r>
              <w:rPr>
                <w:rFonts w:hint="eastAsia" w:ascii="宋体" w:hAnsi="宋体" w:cs="宋体"/>
                <w:b w:val="0"/>
                <w:bCs w:val="0"/>
                <w:color w:val="auto"/>
                <w:sz w:val="28"/>
                <w:szCs w:val="28"/>
                <w:highlight w:val="none"/>
                <w:vertAlign w:val="baseline"/>
                <w:lang w:eastAsia="zh-CN"/>
              </w:rPr>
              <w:t>运距</w:t>
            </w:r>
          </w:p>
        </w:tc>
        <w:tc>
          <w:tcPr>
            <w:tcW w:w="4497" w:type="dxa"/>
            <w:vAlign w:val="top"/>
          </w:tcPr>
          <w:p w14:paraId="33F3F0D9">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right="0" w:rightChars="0"/>
              <w:jc w:val="center"/>
              <w:textAlignment w:val="auto"/>
              <w:rPr>
                <w:rFonts w:hint="eastAsia" w:ascii="宋体" w:hAnsi="宋体" w:cs="宋体"/>
                <w:b w:val="0"/>
                <w:bCs w:val="0"/>
                <w:color w:val="auto"/>
                <w:sz w:val="28"/>
                <w:szCs w:val="28"/>
                <w:highlight w:val="none"/>
                <w:vertAlign w:val="baseline"/>
                <w:lang w:eastAsia="zh-CN"/>
              </w:rPr>
            </w:pPr>
            <w:r>
              <w:rPr>
                <w:rFonts w:hint="eastAsia" w:ascii="宋体" w:hAnsi="宋体" w:cs="宋体"/>
                <w:b w:val="0"/>
                <w:bCs w:val="0"/>
                <w:color w:val="auto"/>
                <w:sz w:val="28"/>
                <w:szCs w:val="28"/>
                <w:highlight w:val="none"/>
                <w:vertAlign w:val="baseline"/>
                <w:lang w:eastAsia="zh-CN"/>
              </w:rPr>
              <w:t>投标单价</w:t>
            </w:r>
          </w:p>
        </w:tc>
      </w:tr>
      <w:tr w14:paraId="6D6E7B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12" w:type="dxa"/>
            <w:vAlign w:val="top"/>
          </w:tcPr>
          <w:p w14:paraId="0AA69715">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right="0" w:rightChars="0"/>
              <w:jc w:val="center"/>
              <w:textAlignment w:val="auto"/>
              <w:rPr>
                <w:rFonts w:hint="default" w:ascii="宋体" w:hAnsi="宋体" w:cs="宋体"/>
                <w:b w:val="0"/>
                <w:bCs w:val="0"/>
                <w:color w:val="auto"/>
                <w:sz w:val="28"/>
                <w:szCs w:val="28"/>
                <w:highlight w:val="none"/>
                <w:vertAlign w:val="baseline"/>
                <w:lang w:val="en-US" w:eastAsia="zh-CN"/>
              </w:rPr>
            </w:pPr>
            <w:r>
              <w:rPr>
                <w:rFonts w:hint="eastAsia" w:ascii="宋体" w:hAnsi="宋体" w:cs="宋体"/>
                <w:b w:val="0"/>
                <w:bCs w:val="0"/>
                <w:color w:val="auto"/>
                <w:sz w:val="28"/>
                <w:szCs w:val="28"/>
                <w:highlight w:val="none"/>
                <w:vertAlign w:val="baseline"/>
                <w:lang w:val="en-US" w:eastAsia="zh-CN"/>
              </w:rPr>
              <w:t>1</w:t>
            </w:r>
          </w:p>
        </w:tc>
        <w:tc>
          <w:tcPr>
            <w:tcW w:w="2550" w:type="dxa"/>
            <w:vAlign w:val="top"/>
          </w:tcPr>
          <w:p w14:paraId="6F44793D">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right="0" w:rightChars="0"/>
              <w:jc w:val="center"/>
              <w:textAlignment w:val="auto"/>
              <w:rPr>
                <w:rFonts w:hint="eastAsia" w:ascii="宋体" w:hAnsi="宋体" w:cs="宋体"/>
                <w:b w:val="0"/>
                <w:bCs w:val="0"/>
                <w:color w:val="auto"/>
                <w:sz w:val="28"/>
                <w:szCs w:val="28"/>
                <w:highlight w:val="none"/>
                <w:vertAlign w:val="baseline"/>
                <w:lang w:eastAsia="zh-CN"/>
              </w:rPr>
            </w:pPr>
            <w:r>
              <w:rPr>
                <w:rFonts w:hint="eastAsia" w:ascii="宋体" w:hAnsi="宋体" w:cs="宋体"/>
                <w:b w:val="0"/>
                <w:bCs w:val="0"/>
                <w:color w:val="auto"/>
                <w:sz w:val="28"/>
                <w:szCs w:val="28"/>
                <w:highlight w:val="none"/>
                <w:vertAlign w:val="baseline"/>
                <w:lang w:eastAsia="zh-CN"/>
              </w:rPr>
              <w:t>紫荆岭压缩站</w:t>
            </w:r>
          </w:p>
        </w:tc>
        <w:tc>
          <w:tcPr>
            <w:tcW w:w="1710" w:type="dxa"/>
            <w:vAlign w:val="top"/>
          </w:tcPr>
          <w:p w14:paraId="7A906AFA">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right="0" w:rightChars="0"/>
              <w:jc w:val="center"/>
              <w:textAlignment w:val="auto"/>
              <w:rPr>
                <w:rFonts w:hint="eastAsia" w:ascii="宋体" w:hAnsi="宋体" w:cs="宋体"/>
                <w:b w:val="0"/>
                <w:bCs w:val="0"/>
                <w:color w:val="auto"/>
                <w:sz w:val="28"/>
                <w:szCs w:val="28"/>
                <w:highlight w:val="none"/>
                <w:vertAlign w:val="baseline"/>
                <w:lang w:eastAsia="zh-CN"/>
              </w:rPr>
            </w:pPr>
            <w:r>
              <w:rPr>
                <w:rFonts w:hint="eastAsia" w:ascii="宋体" w:hAnsi="宋体" w:cs="宋体"/>
                <w:b w:val="0"/>
                <w:bCs w:val="0"/>
                <w:color w:val="auto"/>
                <w:sz w:val="28"/>
                <w:szCs w:val="28"/>
                <w:highlight w:val="none"/>
                <w:vertAlign w:val="baseline"/>
                <w:lang w:eastAsia="zh-CN"/>
              </w:rPr>
              <w:t>27km</w:t>
            </w:r>
          </w:p>
        </w:tc>
        <w:tc>
          <w:tcPr>
            <w:tcW w:w="4497" w:type="dxa"/>
            <w:vAlign w:val="top"/>
          </w:tcPr>
          <w:p w14:paraId="542D7E5E">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right="0" w:rightChars="0"/>
              <w:jc w:val="center"/>
              <w:textAlignment w:val="auto"/>
              <w:rPr>
                <w:rFonts w:hint="eastAsia" w:ascii="宋体" w:hAnsi="宋体" w:cs="宋体"/>
                <w:b w:val="0"/>
                <w:bCs w:val="0"/>
                <w:color w:val="auto"/>
                <w:sz w:val="28"/>
                <w:szCs w:val="28"/>
                <w:highlight w:val="none"/>
                <w:vertAlign w:val="baseline"/>
                <w:lang w:eastAsia="zh-CN"/>
              </w:rPr>
            </w:pPr>
            <w:r>
              <w:rPr>
                <w:rFonts w:hint="eastAsia" w:ascii="宋体" w:hAnsi="宋体" w:cs="宋体"/>
                <w:b w:val="0"/>
                <w:bCs w:val="0"/>
                <w:color w:val="auto"/>
                <w:sz w:val="28"/>
                <w:szCs w:val="28"/>
                <w:highlight w:val="none"/>
                <w:vertAlign w:val="baseline"/>
                <w:lang w:val="en-US" w:eastAsia="zh-CN"/>
              </w:rPr>
              <w:t xml:space="preserve">    </w:t>
            </w:r>
            <w:r>
              <w:rPr>
                <w:rFonts w:hint="eastAsia" w:ascii="宋体" w:hAnsi="宋体" w:cs="宋体"/>
                <w:b w:val="0"/>
                <w:bCs w:val="0"/>
                <w:color w:val="auto"/>
                <w:sz w:val="28"/>
                <w:szCs w:val="28"/>
                <w:highlight w:val="none"/>
                <w:vertAlign w:val="baseline"/>
                <w:lang w:eastAsia="zh-CN"/>
              </w:rPr>
              <w:t>元/吨/公里</w:t>
            </w:r>
          </w:p>
        </w:tc>
      </w:tr>
      <w:tr w14:paraId="104B88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12" w:type="dxa"/>
            <w:vAlign w:val="top"/>
          </w:tcPr>
          <w:p w14:paraId="7C5D1BCF">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right="0" w:rightChars="0"/>
              <w:jc w:val="center"/>
              <w:textAlignment w:val="auto"/>
              <w:rPr>
                <w:rFonts w:hint="default" w:ascii="宋体" w:hAnsi="宋体" w:cs="宋体"/>
                <w:b w:val="0"/>
                <w:bCs w:val="0"/>
                <w:color w:val="auto"/>
                <w:sz w:val="28"/>
                <w:szCs w:val="28"/>
                <w:highlight w:val="none"/>
                <w:vertAlign w:val="baseline"/>
                <w:lang w:val="en-US" w:eastAsia="zh-CN"/>
              </w:rPr>
            </w:pPr>
            <w:r>
              <w:rPr>
                <w:rFonts w:hint="eastAsia" w:ascii="宋体" w:hAnsi="宋体" w:cs="宋体"/>
                <w:b w:val="0"/>
                <w:bCs w:val="0"/>
                <w:color w:val="auto"/>
                <w:sz w:val="28"/>
                <w:szCs w:val="28"/>
                <w:highlight w:val="none"/>
                <w:vertAlign w:val="baseline"/>
                <w:lang w:val="en-US" w:eastAsia="zh-CN"/>
              </w:rPr>
              <w:t>2</w:t>
            </w:r>
          </w:p>
        </w:tc>
        <w:tc>
          <w:tcPr>
            <w:tcW w:w="2550" w:type="dxa"/>
            <w:vAlign w:val="top"/>
          </w:tcPr>
          <w:p w14:paraId="1685E9C1">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right="0" w:rightChars="0"/>
              <w:jc w:val="center"/>
              <w:textAlignment w:val="auto"/>
              <w:rPr>
                <w:rFonts w:hint="eastAsia" w:ascii="宋体" w:hAnsi="宋体" w:cs="宋体"/>
                <w:b w:val="0"/>
                <w:bCs w:val="0"/>
                <w:color w:val="auto"/>
                <w:sz w:val="28"/>
                <w:szCs w:val="28"/>
                <w:highlight w:val="none"/>
                <w:vertAlign w:val="baseline"/>
                <w:lang w:eastAsia="zh-CN"/>
              </w:rPr>
            </w:pPr>
            <w:r>
              <w:rPr>
                <w:rFonts w:hint="eastAsia" w:ascii="宋体" w:hAnsi="宋体" w:cs="宋体"/>
                <w:b w:val="0"/>
                <w:bCs w:val="0"/>
                <w:color w:val="auto"/>
                <w:sz w:val="28"/>
                <w:szCs w:val="28"/>
                <w:highlight w:val="none"/>
                <w:vertAlign w:val="baseline"/>
                <w:lang w:eastAsia="zh-CN"/>
              </w:rPr>
              <w:t>安福寺压缩站</w:t>
            </w:r>
          </w:p>
        </w:tc>
        <w:tc>
          <w:tcPr>
            <w:tcW w:w="1710" w:type="dxa"/>
            <w:vAlign w:val="top"/>
          </w:tcPr>
          <w:p w14:paraId="5C8E283E">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right="0" w:rightChars="0"/>
              <w:jc w:val="center"/>
              <w:textAlignment w:val="auto"/>
              <w:rPr>
                <w:rFonts w:hint="eastAsia" w:ascii="宋体" w:hAnsi="宋体" w:cs="宋体"/>
                <w:b w:val="0"/>
                <w:bCs w:val="0"/>
                <w:color w:val="auto"/>
                <w:sz w:val="28"/>
                <w:szCs w:val="28"/>
                <w:highlight w:val="none"/>
                <w:vertAlign w:val="baseline"/>
                <w:lang w:eastAsia="zh-CN"/>
              </w:rPr>
            </w:pPr>
            <w:r>
              <w:rPr>
                <w:rFonts w:hint="eastAsia" w:ascii="宋体" w:hAnsi="宋体" w:cs="宋体"/>
                <w:b w:val="0"/>
                <w:bCs w:val="0"/>
                <w:color w:val="auto"/>
                <w:sz w:val="28"/>
                <w:szCs w:val="28"/>
                <w:highlight w:val="none"/>
                <w:vertAlign w:val="baseline"/>
                <w:lang w:eastAsia="zh-CN"/>
              </w:rPr>
              <w:t>28km</w:t>
            </w:r>
          </w:p>
        </w:tc>
        <w:tc>
          <w:tcPr>
            <w:tcW w:w="4497" w:type="dxa"/>
            <w:vAlign w:val="top"/>
          </w:tcPr>
          <w:p w14:paraId="7CE19E8C">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right="0" w:rightChars="0"/>
              <w:jc w:val="center"/>
              <w:textAlignment w:val="auto"/>
              <w:rPr>
                <w:rFonts w:hint="eastAsia" w:ascii="宋体" w:hAnsi="宋体" w:cs="宋体"/>
                <w:b w:val="0"/>
                <w:bCs w:val="0"/>
                <w:color w:val="auto"/>
                <w:sz w:val="28"/>
                <w:szCs w:val="28"/>
                <w:highlight w:val="none"/>
                <w:vertAlign w:val="baseline"/>
                <w:lang w:eastAsia="zh-CN"/>
              </w:rPr>
            </w:pPr>
            <w:r>
              <w:rPr>
                <w:rFonts w:hint="eastAsia" w:ascii="宋体" w:hAnsi="宋体" w:cs="宋体"/>
                <w:b w:val="0"/>
                <w:bCs w:val="0"/>
                <w:color w:val="auto"/>
                <w:sz w:val="28"/>
                <w:szCs w:val="28"/>
                <w:highlight w:val="none"/>
                <w:vertAlign w:val="baseline"/>
                <w:lang w:val="en-US" w:eastAsia="zh-CN"/>
              </w:rPr>
              <w:t xml:space="preserve">    </w:t>
            </w:r>
            <w:r>
              <w:rPr>
                <w:rFonts w:hint="eastAsia" w:ascii="宋体" w:hAnsi="宋体" w:cs="宋体"/>
                <w:b w:val="0"/>
                <w:bCs w:val="0"/>
                <w:color w:val="auto"/>
                <w:sz w:val="28"/>
                <w:szCs w:val="28"/>
                <w:highlight w:val="none"/>
                <w:vertAlign w:val="baseline"/>
                <w:lang w:eastAsia="zh-CN"/>
              </w:rPr>
              <w:t>元/吨/公里</w:t>
            </w:r>
          </w:p>
        </w:tc>
      </w:tr>
      <w:tr w14:paraId="0FA093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12" w:type="dxa"/>
            <w:vAlign w:val="top"/>
          </w:tcPr>
          <w:p w14:paraId="5A73551D">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right="0" w:rightChars="0"/>
              <w:jc w:val="center"/>
              <w:textAlignment w:val="auto"/>
              <w:rPr>
                <w:rFonts w:hint="default" w:ascii="宋体" w:hAnsi="宋体" w:cs="宋体"/>
                <w:b w:val="0"/>
                <w:bCs w:val="0"/>
                <w:color w:val="auto"/>
                <w:sz w:val="28"/>
                <w:szCs w:val="28"/>
                <w:highlight w:val="none"/>
                <w:vertAlign w:val="baseline"/>
                <w:lang w:val="en-US" w:eastAsia="zh-CN"/>
              </w:rPr>
            </w:pPr>
            <w:r>
              <w:rPr>
                <w:rFonts w:hint="eastAsia" w:ascii="宋体" w:hAnsi="宋体" w:cs="宋体"/>
                <w:b w:val="0"/>
                <w:bCs w:val="0"/>
                <w:color w:val="auto"/>
                <w:sz w:val="28"/>
                <w:szCs w:val="28"/>
                <w:highlight w:val="none"/>
                <w:vertAlign w:val="baseline"/>
                <w:lang w:val="en-US" w:eastAsia="zh-CN"/>
              </w:rPr>
              <w:t>3</w:t>
            </w:r>
          </w:p>
        </w:tc>
        <w:tc>
          <w:tcPr>
            <w:tcW w:w="2550" w:type="dxa"/>
            <w:vAlign w:val="top"/>
          </w:tcPr>
          <w:p w14:paraId="0D7421A3">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right="0" w:rightChars="0"/>
              <w:jc w:val="center"/>
              <w:textAlignment w:val="auto"/>
              <w:rPr>
                <w:rFonts w:hint="eastAsia" w:ascii="宋体" w:hAnsi="宋体" w:cs="宋体"/>
                <w:b w:val="0"/>
                <w:bCs w:val="0"/>
                <w:color w:val="auto"/>
                <w:sz w:val="28"/>
                <w:szCs w:val="28"/>
                <w:highlight w:val="none"/>
                <w:vertAlign w:val="baseline"/>
                <w:lang w:eastAsia="zh-CN"/>
              </w:rPr>
            </w:pPr>
            <w:r>
              <w:rPr>
                <w:rFonts w:hint="eastAsia" w:ascii="宋体" w:hAnsi="宋体" w:cs="宋体"/>
                <w:b w:val="0"/>
                <w:bCs w:val="0"/>
                <w:color w:val="auto"/>
                <w:sz w:val="28"/>
                <w:szCs w:val="28"/>
                <w:highlight w:val="none"/>
                <w:vertAlign w:val="baseline"/>
                <w:lang w:eastAsia="zh-CN"/>
              </w:rPr>
              <w:t>瑶华压缩站</w:t>
            </w:r>
          </w:p>
        </w:tc>
        <w:tc>
          <w:tcPr>
            <w:tcW w:w="1710" w:type="dxa"/>
            <w:vAlign w:val="top"/>
          </w:tcPr>
          <w:p w14:paraId="1FBE56B4">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right="0" w:rightChars="0"/>
              <w:jc w:val="center"/>
              <w:textAlignment w:val="auto"/>
              <w:rPr>
                <w:rFonts w:hint="eastAsia" w:ascii="宋体" w:hAnsi="宋体" w:cs="宋体"/>
                <w:b w:val="0"/>
                <w:bCs w:val="0"/>
                <w:color w:val="auto"/>
                <w:sz w:val="28"/>
                <w:szCs w:val="28"/>
                <w:highlight w:val="none"/>
                <w:vertAlign w:val="baseline"/>
                <w:lang w:eastAsia="zh-CN"/>
              </w:rPr>
            </w:pPr>
            <w:r>
              <w:rPr>
                <w:rFonts w:hint="eastAsia" w:ascii="宋体" w:hAnsi="宋体" w:cs="宋体"/>
                <w:b w:val="0"/>
                <w:bCs w:val="0"/>
                <w:color w:val="auto"/>
                <w:sz w:val="28"/>
                <w:szCs w:val="28"/>
                <w:highlight w:val="none"/>
                <w:vertAlign w:val="baseline"/>
                <w:lang w:eastAsia="zh-CN"/>
              </w:rPr>
              <w:t>25km</w:t>
            </w:r>
          </w:p>
        </w:tc>
        <w:tc>
          <w:tcPr>
            <w:tcW w:w="4497" w:type="dxa"/>
            <w:vAlign w:val="top"/>
          </w:tcPr>
          <w:p w14:paraId="43299401">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right="0" w:rightChars="0"/>
              <w:jc w:val="center"/>
              <w:textAlignment w:val="auto"/>
              <w:rPr>
                <w:rFonts w:hint="eastAsia" w:ascii="宋体" w:hAnsi="宋体" w:cs="宋体"/>
                <w:b w:val="0"/>
                <w:bCs w:val="0"/>
                <w:color w:val="auto"/>
                <w:sz w:val="28"/>
                <w:szCs w:val="28"/>
                <w:highlight w:val="none"/>
                <w:vertAlign w:val="baseline"/>
                <w:lang w:eastAsia="zh-CN"/>
              </w:rPr>
            </w:pPr>
            <w:r>
              <w:rPr>
                <w:rFonts w:hint="eastAsia" w:ascii="宋体" w:hAnsi="宋体" w:cs="宋体"/>
                <w:b w:val="0"/>
                <w:bCs w:val="0"/>
                <w:color w:val="auto"/>
                <w:sz w:val="28"/>
                <w:szCs w:val="28"/>
                <w:highlight w:val="none"/>
                <w:vertAlign w:val="baseline"/>
                <w:lang w:val="en-US" w:eastAsia="zh-CN"/>
              </w:rPr>
              <w:t xml:space="preserve">    </w:t>
            </w:r>
            <w:r>
              <w:rPr>
                <w:rFonts w:hint="eastAsia" w:ascii="宋体" w:hAnsi="宋体" w:cs="宋体"/>
                <w:b w:val="0"/>
                <w:bCs w:val="0"/>
                <w:color w:val="auto"/>
                <w:sz w:val="28"/>
                <w:szCs w:val="28"/>
                <w:highlight w:val="none"/>
                <w:vertAlign w:val="baseline"/>
                <w:lang w:eastAsia="zh-CN"/>
              </w:rPr>
              <w:t>元/吨/公里</w:t>
            </w:r>
          </w:p>
        </w:tc>
      </w:tr>
      <w:tr w14:paraId="5E783E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5172" w:type="dxa"/>
            <w:gridSpan w:val="3"/>
            <w:vAlign w:val="top"/>
          </w:tcPr>
          <w:p w14:paraId="12C2ED56">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right="0" w:rightChars="0"/>
              <w:jc w:val="center"/>
              <w:textAlignment w:val="auto"/>
              <w:rPr>
                <w:rFonts w:hint="eastAsia" w:ascii="宋体" w:hAnsi="宋体" w:cs="宋体"/>
                <w:b w:val="0"/>
                <w:bCs w:val="0"/>
                <w:color w:val="auto"/>
                <w:sz w:val="28"/>
                <w:szCs w:val="28"/>
                <w:highlight w:val="none"/>
                <w:vertAlign w:val="baseline"/>
                <w:lang w:eastAsia="zh-CN"/>
              </w:rPr>
            </w:pPr>
            <w:r>
              <w:rPr>
                <w:rFonts w:hint="eastAsia" w:ascii="宋体" w:hAnsi="宋体" w:cs="宋体"/>
                <w:b w:val="0"/>
                <w:bCs w:val="0"/>
                <w:color w:val="auto"/>
                <w:sz w:val="28"/>
                <w:szCs w:val="28"/>
                <w:highlight w:val="none"/>
                <w:vertAlign w:val="baseline"/>
                <w:lang w:eastAsia="zh-CN"/>
              </w:rPr>
              <w:t>总价</w:t>
            </w:r>
          </w:p>
        </w:tc>
        <w:tc>
          <w:tcPr>
            <w:tcW w:w="4497" w:type="dxa"/>
            <w:vAlign w:val="top"/>
          </w:tcPr>
          <w:p w14:paraId="675FCFA1">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right="0" w:rightChars="0"/>
              <w:jc w:val="center"/>
              <w:textAlignment w:val="auto"/>
              <w:rPr>
                <w:rFonts w:hint="default" w:ascii="宋体" w:hAnsi="宋体" w:cs="宋体"/>
                <w:b w:val="0"/>
                <w:bCs w:val="0"/>
                <w:color w:val="auto"/>
                <w:sz w:val="28"/>
                <w:szCs w:val="28"/>
                <w:highlight w:val="none"/>
                <w:vertAlign w:val="baseline"/>
                <w:lang w:val="en-US" w:eastAsia="zh-CN"/>
              </w:rPr>
            </w:pPr>
            <w:r>
              <w:rPr>
                <w:rFonts w:hint="eastAsia" w:ascii="宋体" w:hAnsi="宋体" w:cs="宋体"/>
                <w:b w:val="0"/>
                <w:bCs w:val="0"/>
                <w:color w:val="auto"/>
                <w:sz w:val="28"/>
                <w:szCs w:val="28"/>
                <w:highlight w:val="none"/>
                <w:vertAlign w:val="baseline"/>
                <w:lang w:val="en-US" w:eastAsia="zh-CN"/>
              </w:rPr>
              <w:t xml:space="preserve">      元</w:t>
            </w:r>
          </w:p>
        </w:tc>
      </w:tr>
    </w:tbl>
    <w:p w14:paraId="14244D8E">
      <w:pPr>
        <w:adjustRightInd w:val="0"/>
        <w:snapToGrid w:val="0"/>
        <w:spacing w:line="500" w:lineRule="exact"/>
        <w:ind w:firstLine="560" w:firstLineChars="200"/>
        <w:rPr>
          <w:rFonts w:hint="eastAsia" w:ascii="宋体" w:hAnsi="宋体" w:eastAsia="宋体" w:cs="Times New Roman"/>
          <w:color w:val="auto"/>
          <w:sz w:val="28"/>
          <w:szCs w:val="28"/>
          <w:highlight w:val="none"/>
        </w:rPr>
      </w:pPr>
      <w:r>
        <w:rPr>
          <w:rFonts w:hint="eastAsia" w:ascii="宋体" w:hAnsi="宋体" w:eastAsia="宋体" w:cs="Times New Roman"/>
          <w:color w:val="auto"/>
          <w:sz w:val="28"/>
          <w:szCs w:val="28"/>
          <w:highlight w:val="none"/>
        </w:rPr>
        <w:t>说明：</w:t>
      </w:r>
    </w:p>
    <w:p w14:paraId="79A87A1B">
      <w:pPr>
        <w:adjustRightInd w:val="0"/>
        <w:snapToGrid w:val="0"/>
        <w:spacing w:line="500" w:lineRule="exact"/>
        <w:ind w:firstLine="560" w:firstLineChars="200"/>
        <w:rPr>
          <w:rFonts w:hint="eastAsia" w:ascii="宋体" w:hAnsi="宋体" w:eastAsia="宋体" w:cs="Times New Roman"/>
          <w:color w:val="auto"/>
          <w:sz w:val="28"/>
          <w:szCs w:val="28"/>
          <w:highlight w:val="none"/>
        </w:rPr>
      </w:pPr>
      <w:r>
        <w:rPr>
          <w:rFonts w:hint="eastAsia" w:ascii="宋体" w:hAnsi="宋体" w:eastAsia="宋体" w:cs="Times New Roman"/>
          <w:color w:val="auto"/>
          <w:sz w:val="28"/>
          <w:szCs w:val="28"/>
          <w:highlight w:val="none"/>
        </w:rPr>
        <w:t>1.所有价格均用人民币表示，单位为元。</w:t>
      </w:r>
    </w:p>
    <w:p w14:paraId="700130A0">
      <w:pPr>
        <w:adjustRightInd w:val="0"/>
        <w:snapToGrid w:val="0"/>
        <w:spacing w:line="500" w:lineRule="exact"/>
        <w:ind w:firstLine="560" w:firstLineChars="200"/>
        <w:rPr>
          <w:rFonts w:hint="eastAsia" w:ascii="宋体" w:hAnsi="宋体" w:eastAsia="宋体" w:cs="Times New Roman"/>
          <w:color w:val="auto"/>
          <w:sz w:val="28"/>
          <w:szCs w:val="28"/>
          <w:highlight w:val="none"/>
        </w:rPr>
      </w:pPr>
      <w:r>
        <w:rPr>
          <w:rFonts w:hint="eastAsia" w:ascii="宋体" w:hAnsi="宋体" w:eastAsia="宋体" w:cs="Times New Roman"/>
          <w:color w:val="auto"/>
          <w:sz w:val="28"/>
          <w:szCs w:val="28"/>
          <w:highlight w:val="none"/>
        </w:rPr>
        <w:t>2.分项报价总计价格必须与《磋商报价表》报价一致，分项报价及总报价均不可超过最高限价，否则作废标处理。</w:t>
      </w:r>
    </w:p>
    <w:p w14:paraId="79D63E14">
      <w:pPr>
        <w:pStyle w:val="29"/>
        <w:adjustRightInd w:val="0"/>
        <w:snapToGrid w:val="0"/>
        <w:spacing w:line="520" w:lineRule="exact"/>
        <w:ind w:left="1259" w:leftChars="266" w:hanging="700" w:hangingChars="250"/>
        <w:rPr>
          <w:rFonts w:hint="eastAsia" w:ascii="宋体" w:hAnsi="宋体"/>
          <w:sz w:val="28"/>
          <w:szCs w:val="28"/>
          <w:highlight w:val="none"/>
        </w:rPr>
      </w:pPr>
    </w:p>
    <w:p w14:paraId="4D9E60AA">
      <w:pPr>
        <w:pStyle w:val="29"/>
        <w:adjustRightInd w:val="0"/>
        <w:snapToGrid w:val="0"/>
        <w:spacing w:line="520" w:lineRule="exact"/>
        <w:ind w:left="1259" w:leftChars="266" w:hanging="700" w:hangingChars="250"/>
        <w:rPr>
          <w:rFonts w:ascii="宋体" w:hAnsi="宋体"/>
          <w:color w:val="auto"/>
          <w:sz w:val="28"/>
          <w:szCs w:val="28"/>
          <w:highlight w:val="none"/>
        </w:rPr>
      </w:pPr>
      <w:r>
        <w:rPr>
          <w:rFonts w:hint="eastAsia" w:ascii="宋体" w:hAnsi="宋体"/>
          <w:color w:val="auto"/>
          <w:sz w:val="28"/>
          <w:szCs w:val="28"/>
          <w:highlight w:val="none"/>
        </w:rPr>
        <w:t>供应商名称（</w:t>
      </w:r>
      <w:r>
        <w:rPr>
          <w:rFonts w:hint="eastAsia" w:ascii="宋体" w:hAnsi="宋体"/>
          <w:color w:val="auto"/>
          <w:sz w:val="28"/>
          <w:szCs w:val="28"/>
          <w:highlight w:val="none"/>
          <w:lang w:eastAsia="zh-CN"/>
        </w:rPr>
        <w:t>盖章</w:t>
      </w:r>
      <w:r>
        <w:rPr>
          <w:rFonts w:hint="eastAsia" w:ascii="宋体" w:hAnsi="宋体"/>
          <w:color w:val="auto"/>
          <w:sz w:val="28"/>
          <w:szCs w:val="28"/>
          <w:highlight w:val="none"/>
        </w:rPr>
        <w:t>）：</w:t>
      </w:r>
    </w:p>
    <w:p w14:paraId="7D32A647">
      <w:pPr>
        <w:pStyle w:val="29"/>
        <w:adjustRightInd w:val="0"/>
        <w:snapToGrid w:val="0"/>
        <w:spacing w:line="520" w:lineRule="exact"/>
        <w:ind w:left="1259" w:leftChars="266" w:hanging="700" w:hangingChars="250"/>
        <w:rPr>
          <w:rFonts w:ascii="宋体" w:hAnsi="宋体"/>
          <w:color w:val="auto"/>
          <w:sz w:val="28"/>
          <w:szCs w:val="28"/>
          <w:highlight w:val="none"/>
        </w:rPr>
      </w:pPr>
      <w:r>
        <w:rPr>
          <w:rFonts w:hint="eastAsia" w:ascii="宋体" w:hAnsi="宋体"/>
          <w:color w:val="auto"/>
          <w:sz w:val="28"/>
          <w:szCs w:val="28"/>
          <w:highlight w:val="none"/>
        </w:rPr>
        <w:t>供应商法定代表人（</w:t>
      </w:r>
      <w:r>
        <w:rPr>
          <w:rFonts w:hint="eastAsia" w:ascii="宋体" w:hAnsi="宋体"/>
          <w:color w:val="auto"/>
          <w:sz w:val="28"/>
          <w:szCs w:val="28"/>
          <w:highlight w:val="none"/>
          <w:lang w:eastAsia="zh-CN"/>
        </w:rPr>
        <w:t>盖章或签字</w:t>
      </w:r>
      <w:r>
        <w:rPr>
          <w:rFonts w:hint="eastAsia" w:ascii="宋体" w:hAnsi="宋体"/>
          <w:color w:val="auto"/>
          <w:sz w:val="28"/>
          <w:szCs w:val="28"/>
          <w:highlight w:val="none"/>
        </w:rPr>
        <w:t>）：</w:t>
      </w:r>
    </w:p>
    <w:p w14:paraId="77A25911">
      <w:pPr>
        <w:pStyle w:val="29"/>
        <w:adjustRightInd w:val="0"/>
        <w:snapToGrid w:val="0"/>
        <w:spacing w:line="520" w:lineRule="exact"/>
        <w:ind w:left="1259" w:leftChars="266" w:hanging="700" w:hangingChars="250"/>
        <w:rPr>
          <w:rFonts w:ascii="宋体" w:hAnsi="宋体"/>
          <w:color w:val="auto"/>
          <w:sz w:val="28"/>
          <w:szCs w:val="28"/>
          <w:highlight w:val="none"/>
        </w:rPr>
      </w:pPr>
      <w:r>
        <w:rPr>
          <w:rFonts w:hint="eastAsia" w:ascii="宋体" w:hAnsi="宋体"/>
          <w:color w:val="auto"/>
          <w:sz w:val="28"/>
          <w:szCs w:val="28"/>
          <w:highlight w:val="none"/>
        </w:rPr>
        <w:t>日期：年 月 日</w:t>
      </w:r>
    </w:p>
    <w:p w14:paraId="645A4510">
      <w:pPr>
        <w:pStyle w:val="11"/>
        <w:spacing w:line="500" w:lineRule="exact"/>
        <w:rPr>
          <w:rFonts w:hint="eastAsia" w:hAnsi="宋体"/>
          <w:b/>
          <w:color w:val="auto"/>
          <w:sz w:val="28"/>
          <w:szCs w:val="28"/>
          <w:highlight w:val="none"/>
        </w:rPr>
        <w:sectPr>
          <w:pgSz w:w="11911" w:h="16838"/>
          <w:pgMar w:top="850" w:right="1134" w:bottom="850" w:left="1134" w:header="283" w:footer="567" w:gutter="0"/>
          <w:pgNumType w:fmt="decimal"/>
          <w:cols w:space="720" w:num="1"/>
          <w:titlePg/>
          <w:docGrid w:linePitch="312" w:charSpace="0"/>
        </w:sectPr>
      </w:pPr>
    </w:p>
    <w:p w14:paraId="346F4A7D">
      <w:pPr>
        <w:jc w:val="center"/>
        <w:outlineLvl w:val="1"/>
        <w:rPr>
          <w:rFonts w:hint="eastAsia" w:ascii="宋体" w:hAnsi="宋体" w:cs="宋体"/>
          <w:b/>
          <w:color w:val="auto"/>
          <w:sz w:val="36"/>
          <w:szCs w:val="36"/>
          <w:highlight w:val="none"/>
          <w:lang w:eastAsia="zh-CN"/>
        </w:rPr>
      </w:pPr>
      <w:bookmarkStart w:id="124" w:name="_Toc14492"/>
      <w:r>
        <w:rPr>
          <w:rFonts w:hint="eastAsia" w:ascii="宋体" w:hAnsi="宋体" w:cs="宋体"/>
          <w:b/>
          <w:color w:val="auto"/>
          <w:sz w:val="36"/>
          <w:szCs w:val="36"/>
          <w:highlight w:val="none"/>
          <w:lang w:eastAsia="zh-CN"/>
        </w:rPr>
        <w:t>安福寺镇生活垃圾转运、无害化处理服务采购项目</w:t>
      </w:r>
      <w:bookmarkEnd w:id="124"/>
    </w:p>
    <w:p w14:paraId="2509184F">
      <w:pPr>
        <w:jc w:val="center"/>
        <w:outlineLvl w:val="1"/>
        <w:rPr>
          <w:rFonts w:hint="eastAsia" w:ascii="宋体" w:hAnsi="宋体" w:cs="宋体"/>
          <w:b/>
          <w:color w:val="auto"/>
          <w:sz w:val="36"/>
          <w:szCs w:val="36"/>
          <w:highlight w:val="none"/>
        </w:rPr>
      </w:pPr>
      <w:bookmarkStart w:id="125" w:name="_Toc23193"/>
      <w:r>
        <w:rPr>
          <w:rFonts w:hint="eastAsia" w:ascii="宋体" w:hAnsi="宋体" w:cs="宋体"/>
          <w:b/>
          <w:color w:val="auto"/>
          <w:sz w:val="36"/>
          <w:szCs w:val="36"/>
          <w:highlight w:val="none"/>
        </w:rPr>
        <w:t>第二次报价表</w:t>
      </w:r>
      <w:bookmarkEnd w:id="123"/>
      <w:bookmarkEnd w:id="125"/>
    </w:p>
    <w:p w14:paraId="6562151B">
      <w:pPr>
        <w:jc w:val="center"/>
        <w:rPr>
          <w:rFonts w:hint="eastAsia" w:ascii="宋体" w:hAnsi="宋体" w:cs="宋体"/>
          <w:color w:val="auto"/>
          <w:sz w:val="32"/>
          <w:szCs w:val="32"/>
          <w:highlight w:val="none"/>
        </w:rPr>
      </w:pPr>
      <w:r>
        <w:rPr>
          <w:rFonts w:hint="eastAsia" w:ascii="宋体" w:hAnsi="宋体" w:cs="宋体"/>
          <w:b/>
          <w:color w:val="auto"/>
          <w:sz w:val="32"/>
          <w:szCs w:val="32"/>
          <w:highlight w:val="none"/>
        </w:rPr>
        <w:t>（最终报价及承诺）</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58"/>
        <w:gridCol w:w="6641"/>
      </w:tblGrid>
      <w:tr w14:paraId="02D04B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trPr>
        <w:tc>
          <w:tcPr>
            <w:tcW w:w="3058" w:type="dxa"/>
            <w:noWrap w:val="0"/>
            <w:vAlign w:val="center"/>
          </w:tcPr>
          <w:p w14:paraId="7D6B5E97">
            <w:pPr>
              <w:jc w:val="center"/>
              <w:rPr>
                <w:rFonts w:hint="eastAsia" w:ascii="宋体" w:hAnsi="宋体" w:cs="宋体"/>
                <w:color w:val="auto"/>
                <w:sz w:val="32"/>
                <w:szCs w:val="32"/>
                <w:highlight w:val="none"/>
              </w:rPr>
            </w:pPr>
            <w:r>
              <w:rPr>
                <w:rFonts w:hint="eastAsia" w:ascii="宋体" w:hAnsi="宋体" w:cs="宋体"/>
                <w:color w:val="auto"/>
                <w:sz w:val="32"/>
                <w:szCs w:val="32"/>
                <w:highlight w:val="none"/>
              </w:rPr>
              <w:t>磋商供应商</w:t>
            </w:r>
          </w:p>
        </w:tc>
        <w:tc>
          <w:tcPr>
            <w:tcW w:w="6641" w:type="dxa"/>
            <w:noWrap w:val="0"/>
            <w:vAlign w:val="center"/>
          </w:tcPr>
          <w:p w14:paraId="3B3CDA98">
            <w:pPr>
              <w:jc w:val="center"/>
              <w:rPr>
                <w:rFonts w:hint="eastAsia" w:ascii="宋体" w:hAnsi="宋体" w:cs="宋体"/>
                <w:color w:val="auto"/>
                <w:sz w:val="32"/>
                <w:szCs w:val="32"/>
                <w:highlight w:val="none"/>
              </w:rPr>
            </w:pPr>
          </w:p>
        </w:tc>
      </w:tr>
      <w:tr w14:paraId="6B2446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4" w:hRule="atLeast"/>
        </w:trPr>
        <w:tc>
          <w:tcPr>
            <w:tcW w:w="3058" w:type="dxa"/>
            <w:noWrap w:val="0"/>
            <w:vAlign w:val="center"/>
          </w:tcPr>
          <w:p w14:paraId="524A2FB4">
            <w:pPr>
              <w:jc w:val="center"/>
              <w:rPr>
                <w:rFonts w:hint="eastAsia" w:ascii="宋体" w:hAnsi="宋体" w:eastAsia="宋体" w:cs="宋体"/>
                <w:b/>
                <w:color w:val="auto"/>
                <w:sz w:val="32"/>
                <w:szCs w:val="32"/>
                <w:highlight w:val="none"/>
                <w:lang w:val="en-US" w:eastAsia="zh-CN"/>
              </w:rPr>
            </w:pPr>
            <w:r>
              <w:rPr>
                <w:rFonts w:hint="eastAsia" w:ascii="宋体" w:hAnsi="宋体" w:cs="宋体"/>
                <w:color w:val="auto"/>
                <w:sz w:val="32"/>
                <w:szCs w:val="32"/>
                <w:highlight w:val="none"/>
              </w:rPr>
              <w:t>磋商报价</w:t>
            </w:r>
          </w:p>
        </w:tc>
        <w:tc>
          <w:tcPr>
            <w:tcW w:w="6641" w:type="dxa"/>
            <w:noWrap w:val="0"/>
            <w:vAlign w:val="center"/>
          </w:tcPr>
          <w:p w14:paraId="4DA38344">
            <w:pPr>
              <w:spacing w:line="500" w:lineRule="exact"/>
              <w:rPr>
                <w:rFonts w:hint="eastAsia"/>
                <w:highlight w:val="none"/>
                <w:lang w:val="en-US" w:eastAsia="zh-CN"/>
              </w:rPr>
            </w:pPr>
            <w:r>
              <w:rPr>
                <w:rFonts w:hint="eastAsia" w:ascii="宋体" w:hAnsi="宋体" w:eastAsia="宋体" w:cs="宋体"/>
                <w:b w:val="0"/>
                <w:bCs w:val="0"/>
                <w:color w:val="auto"/>
                <w:sz w:val="28"/>
                <w:szCs w:val="28"/>
                <w:highlight w:val="none"/>
                <w:lang w:val="en-US" w:eastAsia="zh-CN"/>
              </w:rPr>
              <w:t>大写：</w:t>
            </w:r>
          </w:p>
          <w:p w14:paraId="6FE85D2F">
            <w:pPr>
              <w:spacing w:line="500" w:lineRule="exact"/>
              <w:rPr>
                <w:rFonts w:hint="eastAsia" w:eastAsia="宋体"/>
                <w:highlight w:val="none"/>
                <w:lang w:eastAsia="zh-CN"/>
              </w:rPr>
            </w:pPr>
            <w:r>
              <w:rPr>
                <w:rFonts w:hint="eastAsia" w:ascii="宋体" w:hAnsi="宋体" w:eastAsia="宋体" w:cs="宋体"/>
                <w:b w:val="0"/>
                <w:bCs w:val="0"/>
                <w:color w:val="auto"/>
                <w:sz w:val="28"/>
                <w:szCs w:val="28"/>
                <w:highlight w:val="none"/>
                <w:lang w:val="en-US" w:eastAsia="zh-CN"/>
              </w:rPr>
              <w:t>小写：</w:t>
            </w:r>
          </w:p>
        </w:tc>
      </w:tr>
      <w:tr w14:paraId="178A59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0" w:hRule="atLeast"/>
        </w:trPr>
        <w:tc>
          <w:tcPr>
            <w:tcW w:w="9699" w:type="dxa"/>
            <w:gridSpan w:val="2"/>
            <w:noWrap w:val="0"/>
            <w:vAlign w:val="top"/>
          </w:tcPr>
          <w:p w14:paraId="1A930B3C">
            <w:pPr>
              <w:rPr>
                <w:rFonts w:hint="eastAsia" w:ascii="宋体" w:hAnsi="宋体" w:cs="宋体"/>
                <w:color w:val="auto"/>
                <w:sz w:val="28"/>
                <w:szCs w:val="28"/>
                <w:highlight w:val="none"/>
              </w:rPr>
            </w:pPr>
            <w:r>
              <w:rPr>
                <w:rFonts w:hint="eastAsia" w:ascii="宋体" w:hAnsi="宋体" w:cs="宋体"/>
                <w:color w:val="auto"/>
                <w:sz w:val="28"/>
                <w:szCs w:val="28"/>
                <w:highlight w:val="none"/>
              </w:rPr>
              <w:t xml:space="preserve">有关承诺和说明： </w:t>
            </w:r>
          </w:p>
          <w:p w14:paraId="0B4CD2DE">
            <w:pPr>
              <w:ind w:firstLine="566" w:firstLineChars="200"/>
              <w:jc w:val="both"/>
              <w:rPr>
                <w:rFonts w:hint="eastAsia" w:ascii="宋体" w:hAnsi="宋体" w:cs="宋体"/>
                <w:b/>
                <w:color w:val="auto"/>
                <w:sz w:val="32"/>
                <w:szCs w:val="32"/>
                <w:highlight w:val="none"/>
              </w:rPr>
            </w:pPr>
            <w:r>
              <w:rPr>
                <w:rFonts w:hint="eastAsia" w:ascii="宋体" w:hAnsi="宋体" w:eastAsia="宋体" w:cs="宋体"/>
                <w:color w:val="auto"/>
                <w:sz w:val="28"/>
                <w:szCs w:val="28"/>
                <w:highlight w:val="none"/>
              </w:rPr>
              <w:t>我公司承诺完全响应本项目的竞争性</w:t>
            </w:r>
            <w:r>
              <w:rPr>
                <w:rFonts w:hint="eastAsia" w:ascii="宋体" w:hAnsi="宋体" w:eastAsia="宋体" w:cs="宋体"/>
                <w:color w:val="auto"/>
                <w:sz w:val="28"/>
                <w:szCs w:val="28"/>
                <w:highlight w:val="none"/>
                <w:lang w:eastAsia="zh-CN"/>
              </w:rPr>
              <w:t>磋商</w:t>
            </w:r>
            <w:r>
              <w:rPr>
                <w:rFonts w:hint="eastAsia" w:ascii="宋体" w:hAnsi="宋体" w:eastAsia="宋体" w:cs="宋体"/>
                <w:color w:val="auto"/>
                <w:sz w:val="28"/>
                <w:szCs w:val="28"/>
                <w:highlight w:val="none"/>
              </w:rPr>
              <w:t>文件的要求，已认真阅读和理解</w:t>
            </w:r>
            <w:r>
              <w:rPr>
                <w:rFonts w:hint="eastAsia" w:ascii="宋体" w:hAnsi="宋体" w:eastAsia="宋体" w:cs="宋体"/>
                <w:color w:val="auto"/>
                <w:sz w:val="28"/>
                <w:szCs w:val="28"/>
                <w:highlight w:val="none"/>
                <w:lang w:eastAsia="zh-CN"/>
              </w:rPr>
              <w:t>磋商</w:t>
            </w:r>
            <w:r>
              <w:rPr>
                <w:rFonts w:hint="eastAsia" w:ascii="宋体" w:hAnsi="宋体" w:eastAsia="宋体" w:cs="宋体"/>
                <w:color w:val="auto"/>
                <w:sz w:val="28"/>
                <w:szCs w:val="28"/>
                <w:highlight w:val="none"/>
              </w:rPr>
              <w:t>文件的全部条款，并予以全部确认。承诺</w:t>
            </w:r>
            <w:r>
              <w:rPr>
                <w:rFonts w:hint="eastAsia" w:ascii="宋体" w:hAnsi="宋体" w:eastAsia="宋体" w:cs="宋体"/>
                <w:color w:val="auto"/>
                <w:sz w:val="28"/>
                <w:szCs w:val="28"/>
                <w:highlight w:val="none"/>
                <w:lang w:eastAsia="zh-CN"/>
              </w:rPr>
              <w:t>磋商</w:t>
            </w:r>
            <w:r>
              <w:rPr>
                <w:rFonts w:hint="eastAsia" w:ascii="宋体" w:hAnsi="宋体" w:eastAsia="宋体" w:cs="宋体"/>
                <w:color w:val="auto"/>
                <w:sz w:val="28"/>
                <w:szCs w:val="28"/>
                <w:highlight w:val="none"/>
              </w:rPr>
              <w:t>过程中进行最终报价后，单价下浮比例按总价下浮比例同比例下浮执行。</w:t>
            </w:r>
          </w:p>
        </w:tc>
      </w:tr>
    </w:tbl>
    <w:p w14:paraId="7BCE2E06">
      <w:pPr>
        <w:pStyle w:val="11"/>
        <w:keepNext w:val="0"/>
        <w:keepLines w:val="0"/>
        <w:pageBreakBefore w:val="0"/>
        <w:widowControl w:val="0"/>
        <w:kinsoku/>
        <w:wordWrap/>
        <w:overflowPunct/>
        <w:topLinePunct w:val="0"/>
        <w:autoSpaceDE/>
        <w:autoSpaceDN/>
        <w:bidi w:val="0"/>
        <w:adjustRightInd/>
        <w:snapToGrid/>
        <w:spacing w:line="700" w:lineRule="exact"/>
        <w:textAlignment w:val="auto"/>
        <w:rPr>
          <w:rFonts w:hint="eastAsia" w:hAnsi="宋体" w:eastAsia="宋体"/>
          <w:color w:val="auto"/>
          <w:sz w:val="28"/>
          <w:szCs w:val="28"/>
          <w:highlight w:val="none"/>
          <w:lang w:eastAsia="zh-CN"/>
        </w:rPr>
      </w:pPr>
      <w:r>
        <w:rPr>
          <w:rFonts w:hint="eastAsia" w:hAnsi="宋体"/>
          <w:color w:val="auto"/>
          <w:sz w:val="28"/>
          <w:szCs w:val="28"/>
          <w:highlight w:val="none"/>
          <w:lang w:eastAsia="zh-CN"/>
        </w:rPr>
        <w:t>注：所有价格均用人民币表示，单位为元。</w:t>
      </w:r>
    </w:p>
    <w:p w14:paraId="155FA295">
      <w:pPr>
        <w:pStyle w:val="11"/>
        <w:keepNext w:val="0"/>
        <w:keepLines w:val="0"/>
        <w:pageBreakBefore w:val="0"/>
        <w:widowControl w:val="0"/>
        <w:kinsoku/>
        <w:wordWrap/>
        <w:overflowPunct/>
        <w:topLinePunct w:val="0"/>
        <w:autoSpaceDE/>
        <w:autoSpaceDN/>
        <w:bidi w:val="0"/>
        <w:adjustRightInd/>
        <w:snapToGrid/>
        <w:spacing w:line="700" w:lineRule="exact"/>
        <w:ind w:firstLine="720"/>
        <w:textAlignment w:val="auto"/>
        <w:rPr>
          <w:rFonts w:hint="eastAsia" w:hAnsi="宋体"/>
          <w:color w:val="auto"/>
          <w:sz w:val="28"/>
          <w:szCs w:val="28"/>
          <w:highlight w:val="none"/>
        </w:rPr>
      </w:pPr>
    </w:p>
    <w:p w14:paraId="00BEB805">
      <w:pPr>
        <w:pStyle w:val="11"/>
        <w:keepNext w:val="0"/>
        <w:keepLines w:val="0"/>
        <w:pageBreakBefore w:val="0"/>
        <w:widowControl w:val="0"/>
        <w:kinsoku/>
        <w:wordWrap/>
        <w:overflowPunct/>
        <w:topLinePunct w:val="0"/>
        <w:autoSpaceDE/>
        <w:autoSpaceDN/>
        <w:bidi w:val="0"/>
        <w:adjustRightInd/>
        <w:snapToGrid/>
        <w:spacing w:line="700" w:lineRule="exact"/>
        <w:ind w:firstLine="720"/>
        <w:textAlignment w:val="auto"/>
        <w:rPr>
          <w:rFonts w:hint="eastAsia" w:hAnsi="宋体"/>
          <w:color w:val="auto"/>
          <w:sz w:val="28"/>
          <w:szCs w:val="28"/>
          <w:highlight w:val="none"/>
        </w:rPr>
      </w:pPr>
      <w:r>
        <w:rPr>
          <w:rFonts w:hint="eastAsia" w:hAnsi="宋体"/>
          <w:color w:val="auto"/>
          <w:sz w:val="28"/>
          <w:szCs w:val="28"/>
          <w:highlight w:val="none"/>
        </w:rPr>
        <w:t>供应商名称（</w:t>
      </w:r>
      <w:r>
        <w:rPr>
          <w:rFonts w:hint="eastAsia" w:hAnsi="宋体"/>
          <w:color w:val="auto"/>
          <w:sz w:val="28"/>
          <w:szCs w:val="28"/>
          <w:highlight w:val="none"/>
          <w:lang w:eastAsia="zh-CN"/>
        </w:rPr>
        <w:t>盖章</w:t>
      </w:r>
      <w:r>
        <w:rPr>
          <w:rFonts w:hint="eastAsia" w:hAnsi="宋体"/>
          <w:color w:val="auto"/>
          <w:sz w:val="28"/>
          <w:szCs w:val="28"/>
          <w:highlight w:val="none"/>
        </w:rPr>
        <w:t>）：</w:t>
      </w:r>
    </w:p>
    <w:p w14:paraId="7ED3EF2E">
      <w:pPr>
        <w:pStyle w:val="11"/>
        <w:keepNext w:val="0"/>
        <w:keepLines w:val="0"/>
        <w:pageBreakBefore w:val="0"/>
        <w:widowControl w:val="0"/>
        <w:kinsoku/>
        <w:wordWrap/>
        <w:overflowPunct/>
        <w:topLinePunct w:val="0"/>
        <w:autoSpaceDE/>
        <w:autoSpaceDN/>
        <w:bidi w:val="0"/>
        <w:adjustRightInd/>
        <w:snapToGrid/>
        <w:spacing w:line="700" w:lineRule="exact"/>
        <w:ind w:firstLine="720"/>
        <w:textAlignment w:val="auto"/>
        <w:rPr>
          <w:rFonts w:hAnsi="宋体"/>
          <w:color w:val="auto"/>
          <w:sz w:val="28"/>
          <w:szCs w:val="28"/>
          <w:highlight w:val="none"/>
          <w:u w:val="single"/>
        </w:rPr>
      </w:pPr>
      <w:r>
        <w:rPr>
          <w:rFonts w:hint="eastAsia" w:hAnsi="宋体"/>
          <w:color w:val="auto"/>
          <w:sz w:val="28"/>
          <w:szCs w:val="28"/>
          <w:highlight w:val="none"/>
        </w:rPr>
        <w:t>供应商法定代表人（</w:t>
      </w:r>
      <w:r>
        <w:rPr>
          <w:rFonts w:hint="eastAsia" w:hAnsi="宋体"/>
          <w:color w:val="auto"/>
          <w:sz w:val="28"/>
          <w:szCs w:val="28"/>
          <w:highlight w:val="none"/>
          <w:lang w:eastAsia="zh-CN"/>
        </w:rPr>
        <w:t>盖章或签字</w:t>
      </w:r>
      <w:r>
        <w:rPr>
          <w:rFonts w:hint="eastAsia" w:hAnsi="宋体"/>
          <w:color w:val="auto"/>
          <w:sz w:val="28"/>
          <w:szCs w:val="28"/>
          <w:highlight w:val="none"/>
        </w:rPr>
        <w:t>）</w:t>
      </w:r>
      <w:r>
        <w:rPr>
          <w:rFonts w:hint="eastAsia" w:hAnsi="宋体"/>
          <w:color w:val="auto"/>
          <w:sz w:val="28"/>
          <w:szCs w:val="28"/>
          <w:highlight w:val="none"/>
          <w:lang w:eastAsia="zh-CN"/>
        </w:rPr>
        <w:t>：</w:t>
      </w:r>
      <w:r>
        <w:rPr>
          <w:rFonts w:hint="eastAsia" w:hAnsi="宋体"/>
          <w:color w:val="auto"/>
          <w:sz w:val="28"/>
          <w:szCs w:val="28"/>
          <w:highlight w:val="none"/>
          <w:u w:val="single"/>
        </w:rPr>
        <w:t xml:space="preserve">              </w:t>
      </w:r>
    </w:p>
    <w:p w14:paraId="54BED115">
      <w:pPr>
        <w:pStyle w:val="11"/>
        <w:keepNext w:val="0"/>
        <w:keepLines w:val="0"/>
        <w:pageBreakBefore w:val="0"/>
        <w:widowControl w:val="0"/>
        <w:kinsoku/>
        <w:wordWrap/>
        <w:overflowPunct/>
        <w:topLinePunct w:val="0"/>
        <w:autoSpaceDE/>
        <w:autoSpaceDN/>
        <w:bidi w:val="0"/>
        <w:adjustRightInd/>
        <w:snapToGrid/>
        <w:spacing w:line="700" w:lineRule="exact"/>
        <w:ind w:firstLine="720"/>
        <w:textAlignment w:val="auto"/>
        <w:rPr>
          <w:rFonts w:hAnsi="宋体"/>
          <w:color w:val="auto"/>
          <w:sz w:val="28"/>
          <w:szCs w:val="28"/>
          <w:highlight w:val="none"/>
          <w:u w:val="single"/>
        </w:rPr>
      </w:pPr>
      <w:r>
        <w:rPr>
          <w:rFonts w:hint="eastAsia" w:hAnsi="宋体"/>
          <w:color w:val="auto"/>
          <w:sz w:val="28"/>
          <w:szCs w:val="28"/>
          <w:highlight w:val="none"/>
        </w:rPr>
        <w:t>日期：</w:t>
      </w:r>
      <w:r>
        <w:rPr>
          <w:rFonts w:hint="eastAsia" w:hAnsi="宋体"/>
          <w:color w:val="auto"/>
          <w:sz w:val="28"/>
          <w:szCs w:val="28"/>
          <w:highlight w:val="none"/>
          <w:u w:val="single"/>
        </w:rPr>
        <w:t xml:space="preserve">      </w:t>
      </w:r>
      <w:r>
        <w:rPr>
          <w:rFonts w:hint="eastAsia" w:hAnsi="宋体"/>
          <w:color w:val="auto"/>
          <w:sz w:val="28"/>
          <w:szCs w:val="28"/>
          <w:highlight w:val="none"/>
        </w:rPr>
        <w:t>年</w:t>
      </w:r>
      <w:r>
        <w:rPr>
          <w:rFonts w:hint="eastAsia" w:hAnsi="宋体"/>
          <w:color w:val="auto"/>
          <w:sz w:val="28"/>
          <w:szCs w:val="28"/>
          <w:highlight w:val="none"/>
          <w:u w:val="single"/>
        </w:rPr>
        <w:t xml:space="preserve">     </w:t>
      </w:r>
      <w:r>
        <w:rPr>
          <w:rFonts w:hint="eastAsia" w:hAnsi="宋体"/>
          <w:color w:val="auto"/>
          <w:sz w:val="28"/>
          <w:szCs w:val="28"/>
          <w:highlight w:val="none"/>
        </w:rPr>
        <w:t>月</w:t>
      </w:r>
      <w:r>
        <w:rPr>
          <w:rFonts w:hint="eastAsia" w:hAnsi="宋体"/>
          <w:color w:val="auto"/>
          <w:sz w:val="28"/>
          <w:szCs w:val="28"/>
          <w:highlight w:val="none"/>
          <w:u w:val="single"/>
        </w:rPr>
        <w:t xml:space="preserve">    </w:t>
      </w:r>
      <w:r>
        <w:rPr>
          <w:rFonts w:hint="eastAsia" w:hAnsi="宋体"/>
          <w:color w:val="auto"/>
          <w:sz w:val="28"/>
          <w:szCs w:val="28"/>
          <w:highlight w:val="none"/>
        </w:rPr>
        <w:t xml:space="preserve">日 </w:t>
      </w:r>
    </w:p>
    <w:p w14:paraId="150CCF6A">
      <w:pPr>
        <w:spacing w:line="550" w:lineRule="exact"/>
        <w:ind w:firstLine="553" w:firstLineChars="196"/>
        <w:rPr>
          <w:rFonts w:ascii="宋体" w:hAnsi="宋体" w:cs="宋体"/>
          <w:b/>
          <w:bCs/>
          <w:color w:val="auto"/>
          <w:sz w:val="28"/>
          <w:szCs w:val="28"/>
          <w:highlight w:val="none"/>
        </w:rPr>
      </w:pPr>
    </w:p>
    <w:p w14:paraId="08E68A18">
      <w:pPr>
        <w:spacing w:line="550" w:lineRule="exact"/>
        <w:ind w:firstLine="553" w:firstLineChars="196"/>
        <w:rPr>
          <w:rFonts w:ascii="宋体" w:hAnsi="宋体" w:cs="宋体"/>
          <w:b/>
          <w:bCs/>
          <w:color w:val="auto"/>
          <w:sz w:val="28"/>
          <w:szCs w:val="28"/>
          <w:highlight w:val="none"/>
        </w:rPr>
      </w:pPr>
      <w:r>
        <w:rPr>
          <w:rFonts w:ascii="宋体" w:hAnsi="宋体" w:cs="宋体"/>
          <w:b/>
          <w:bCs/>
          <w:color w:val="auto"/>
          <w:sz w:val="28"/>
          <w:szCs w:val="28"/>
          <w:highlight w:val="none"/>
        </w:rPr>
        <w:t>[</w:t>
      </w:r>
      <w:r>
        <w:rPr>
          <w:rFonts w:hint="eastAsia" w:ascii="宋体" w:hAnsi="宋体" w:cs="宋体"/>
          <w:b/>
          <w:bCs/>
          <w:color w:val="auto"/>
          <w:sz w:val="28"/>
          <w:szCs w:val="28"/>
          <w:highlight w:val="none"/>
        </w:rPr>
        <w:t>说明：此报价单，由响应人将相关印件填好后（报价不填），带到开标现场最终报价时使用</w:t>
      </w:r>
      <w:r>
        <w:rPr>
          <w:rFonts w:ascii="宋体" w:hAnsi="宋体" w:cs="宋体"/>
          <w:b/>
          <w:bCs/>
          <w:color w:val="auto"/>
          <w:sz w:val="28"/>
          <w:szCs w:val="28"/>
          <w:highlight w:val="none"/>
        </w:rPr>
        <w:t>]</w:t>
      </w:r>
      <w:bookmarkStart w:id="126" w:name="_Toc7773"/>
      <w:bookmarkStart w:id="127" w:name="_Toc25152"/>
    </w:p>
    <w:p w14:paraId="79011249">
      <w:pPr>
        <w:rPr>
          <w:rFonts w:ascii="宋体" w:hAnsi="宋体" w:cs="宋体"/>
          <w:b/>
          <w:bCs/>
          <w:color w:val="auto"/>
          <w:sz w:val="28"/>
          <w:szCs w:val="28"/>
          <w:highlight w:val="none"/>
        </w:rPr>
      </w:pPr>
      <w:r>
        <w:rPr>
          <w:rFonts w:ascii="宋体" w:hAnsi="宋体" w:cs="宋体"/>
          <w:b/>
          <w:bCs/>
          <w:color w:val="auto"/>
          <w:sz w:val="28"/>
          <w:szCs w:val="28"/>
          <w:highlight w:val="none"/>
        </w:rPr>
        <w:br w:type="page"/>
      </w:r>
    </w:p>
    <w:p w14:paraId="0EFDB104">
      <w:pPr>
        <w:pStyle w:val="22"/>
        <w:spacing w:line="600" w:lineRule="exact"/>
        <w:ind w:firstLine="0" w:firstLineChars="0"/>
        <w:contextualSpacing/>
        <w:jc w:val="center"/>
        <w:outlineLvl w:val="1"/>
        <w:rPr>
          <w:rFonts w:ascii="宋体" w:hAnsi="宋体"/>
          <w:b/>
          <w:color w:val="auto"/>
          <w:sz w:val="28"/>
          <w:szCs w:val="28"/>
          <w:highlight w:val="none"/>
          <w:lang w:val="en-US" w:eastAsia="zh-CN"/>
        </w:rPr>
      </w:pPr>
      <w:bookmarkStart w:id="128" w:name="_Toc26743"/>
      <w:r>
        <w:rPr>
          <w:rFonts w:hint="eastAsia" w:ascii="宋体" w:hAnsi="宋体"/>
          <w:b/>
          <w:bCs/>
          <w:color w:val="auto"/>
          <w:sz w:val="32"/>
          <w:szCs w:val="32"/>
          <w:highlight w:val="none"/>
          <w:lang w:val="en-US" w:eastAsia="zh-CN"/>
        </w:rPr>
        <w:t>供应商资格声明承诺函</w:t>
      </w:r>
      <w:bookmarkEnd w:id="126"/>
      <w:bookmarkEnd w:id="127"/>
      <w:bookmarkEnd w:id="128"/>
    </w:p>
    <w:p w14:paraId="4C800123">
      <w:pPr>
        <w:pStyle w:val="22"/>
        <w:spacing w:line="500" w:lineRule="exact"/>
        <w:ind w:firstLine="0" w:firstLineChars="0"/>
        <w:rPr>
          <w:rFonts w:ascii="宋体" w:hAnsi="宋体" w:eastAsia="宋体"/>
          <w:bCs/>
          <w:color w:val="0C0C0C"/>
          <w:kern w:val="2"/>
          <w:sz w:val="28"/>
          <w:szCs w:val="28"/>
          <w:highlight w:val="none"/>
        </w:rPr>
      </w:pPr>
      <w:r>
        <w:rPr>
          <w:rFonts w:hint="eastAsia" w:ascii="宋体" w:hAnsi="宋体" w:eastAsia="宋体"/>
          <w:bCs/>
          <w:color w:val="0C0C0C"/>
          <w:kern w:val="2"/>
          <w:sz w:val="28"/>
          <w:szCs w:val="28"/>
          <w:highlight w:val="none"/>
        </w:rPr>
        <w:t>（代理机构名称）：</w:t>
      </w:r>
    </w:p>
    <w:p w14:paraId="7E183C6C">
      <w:pPr>
        <w:pStyle w:val="22"/>
        <w:spacing w:line="500" w:lineRule="exact"/>
        <w:ind w:firstLine="560"/>
        <w:rPr>
          <w:rFonts w:ascii="宋体" w:hAnsi="宋体" w:eastAsia="宋体"/>
          <w:bCs/>
          <w:color w:val="0C0C0C"/>
          <w:kern w:val="2"/>
          <w:sz w:val="28"/>
          <w:szCs w:val="28"/>
          <w:highlight w:val="none"/>
        </w:rPr>
      </w:pPr>
      <w:r>
        <w:rPr>
          <w:rFonts w:hint="eastAsia" w:ascii="宋体" w:hAnsi="宋体" w:eastAsia="宋体"/>
          <w:bCs/>
          <w:color w:val="0C0C0C"/>
          <w:kern w:val="2"/>
          <w:sz w:val="28"/>
          <w:szCs w:val="28"/>
          <w:highlight w:val="none"/>
          <w:u w:val="single"/>
        </w:rPr>
        <w:t>（供应商全称）</w:t>
      </w:r>
      <w:r>
        <w:rPr>
          <w:rFonts w:hint="eastAsia" w:ascii="宋体" w:hAnsi="宋体" w:eastAsia="宋体"/>
          <w:bCs/>
          <w:color w:val="0C0C0C"/>
          <w:kern w:val="2"/>
          <w:sz w:val="28"/>
          <w:szCs w:val="28"/>
          <w:highlight w:val="none"/>
        </w:rPr>
        <w:t>参加</w:t>
      </w:r>
      <w:r>
        <w:rPr>
          <w:rFonts w:hint="eastAsia" w:ascii="宋体" w:hAnsi="宋体" w:eastAsia="宋体"/>
          <w:color w:val="0C0C0C"/>
          <w:kern w:val="2"/>
          <w:sz w:val="28"/>
          <w:szCs w:val="28"/>
          <w:highlight w:val="none"/>
          <w:u w:val="single"/>
        </w:rPr>
        <w:t>（标包名称）</w:t>
      </w:r>
      <w:r>
        <w:rPr>
          <w:rFonts w:hint="eastAsia" w:ascii="宋体" w:hAnsi="宋体" w:eastAsia="宋体"/>
          <w:bCs/>
          <w:color w:val="0C0C0C"/>
          <w:kern w:val="2"/>
          <w:sz w:val="28"/>
          <w:szCs w:val="28"/>
          <w:highlight w:val="none"/>
        </w:rPr>
        <w:t>项目（标包编号：</w:t>
      </w:r>
      <w:r>
        <w:rPr>
          <w:rFonts w:hint="eastAsia" w:ascii="宋体" w:hAnsi="宋体" w:eastAsia="宋体"/>
          <w:bCs/>
          <w:color w:val="0C0C0C"/>
          <w:kern w:val="2"/>
          <w:sz w:val="28"/>
          <w:szCs w:val="28"/>
          <w:highlight w:val="none"/>
          <w:u w:val="single"/>
        </w:rPr>
        <w:t xml:space="preserve">        </w:t>
      </w:r>
      <w:r>
        <w:rPr>
          <w:rFonts w:hint="eastAsia" w:ascii="宋体" w:hAnsi="宋体" w:eastAsia="宋体"/>
          <w:bCs/>
          <w:color w:val="0C0C0C"/>
          <w:kern w:val="2"/>
          <w:sz w:val="28"/>
          <w:szCs w:val="28"/>
          <w:highlight w:val="none"/>
        </w:rPr>
        <w:t>）的政府采购活动，根据采购文件的规定提交相关资格证明文件。并郑重声明承诺如下：</w:t>
      </w:r>
    </w:p>
    <w:p w14:paraId="175BB874">
      <w:pPr>
        <w:pStyle w:val="22"/>
        <w:tabs>
          <w:tab w:val="left" w:pos="0"/>
        </w:tabs>
        <w:spacing w:line="500" w:lineRule="exact"/>
        <w:ind w:firstLine="560"/>
        <w:rPr>
          <w:rFonts w:ascii="宋体" w:hAnsi="宋体" w:eastAsia="宋体"/>
          <w:color w:val="0C0C0C"/>
          <w:kern w:val="2"/>
          <w:sz w:val="28"/>
          <w:szCs w:val="28"/>
          <w:highlight w:val="none"/>
        </w:rPr>
      </w:pPr>
      <w:r>
        <w:rPr>
          <w:rFonts w:hint="eastAsia" w:ascii="宋体" w:hAnsi="宋体" w:eastAsia="宋体"/>
          <w:color w:val="0C0C0C"/>
          <w:kern w:val="2"/>
          <w:sz w:val="28"/>
          <w:szCs w:val="28"/>
          <w:highlight w:val="none"/>
        </w:rPr>
        <w:t>1.具有合法健全的财务会计制度及符合国家相关规定的财务状况报告；</w:t>
      </w:r>
    </w:p>
    <w:p w14:paraId="58514818">
      <w:pPr>
        <w:pStyle w:val="22"/>
        <w:tabs>
          <w:tab w:val="left" w:pos="0"/>
        </w:tabs>
        <w:spacing w:line="500" w:lineRule="exact"/>
        <w:ind w:firstLine="560"/>
        <w:rPr>
          <w:rFonts w:ascii="宋体" w:hAnsi="宋体" w:eastAsia="宋体"/>
          <w:color w:val="0C0C0C"/>
          <w:kern w:val="2"/>
          <w:sz w:val="28"/>
          <w:szCs w:val="28"/>
          <w:highlight w:val="none"/>
        </w:rPr>
      </w:pPr>
      <w:r>
        <w:rPr>
          <w:rFonts w:hint="eastAsia" w:ascii="宋体" w:hAnsi="宋体" w:eastAsia="宋体"/>
          <w:color w:val="0C0C0C"/>
          <w:kern w:val="2"/>
          <w:sz w:val="28"/>
          <w:szCs w:val="28"/>
          <w:highlight w:val="none"/>
        </w:rPr>
        <w:t>2.已依法缴纳税收和社会保障资金且有合法有效的证明文件；</w:t>
      </w:r>
    </w:p>
    <w:p w14:paraId="3F5DEA96">
      <w:pPr>
        <w:pStyle w:val="22"/>
        <w:tabs>
          <w:tab w:val="left" w:pos="0"/>
        </w:tabs>
        <w:spacing w:line="500" w:lineRule="exact"/>
        <w:ind w:firstLine="560"/>
        <w:rPr>
          <w:rFonts w:ascii="宋体" w:hAnsi="宋体" w:eastAsia="宋体"/>
          <w:color w:val="0C0C0C"/>
          <w:kern w:val="2"/>
          <w:sz w:val="28"/>
          <w:szCs w:val="28"/>
          <w:highlight w:val="none"/>
        </w:rPr>
      </w:pPr>
      <w:r>
        <w:rPr>
          <w:rFonts w:hint="eastAsia" w:ascii="宋体" w:hAnsi="宋体" w:eastAsia="宋体"/>
          <w:color w:val="0C0C0C"/>
          <w:kern w:val="2"/>
          <w:sz w:val="28"/>
          <w:szCs w:val="28"/>
          <w:highlight w:val="none"/>
        </w:rPr>
        <w:t>3.具备履行本项目合同所必需的设备和专业技术能力且能在成交后根据采购人要求提供相关证明资料；</w:t>
      </w:r>
    </w:p>
    <w:p w14:paraId="4B098911">
      <w:pPr>
        <w:pStyle w:val="22"/>
        <w:tabs>
          <w:tab w:val="left" w:pos="0"/>
        </w:tabs>
        <w:spacing w:line="500" w:lineRule="exact"/>
        <w:ind w:firstLine="560"/>
        <w:rPr>
          <w:rFonts w:ascii="宋体" w:hAnsi="宋体" w:eastAsia="宋体"/>
          <w:color w:val="0C0C0C"/>
          <w:kern w:val="2"/>
          <w:sz w:val="28"/>
          <w:szCs w:val="28"/>
          <w:highlight w:val="none"/>
        </w:rPr>
      </w:pPr>
      <w:r>
        <w:rPr>
          <w:rFonts w:hint="eastAsia" w:ascii="宋体" w:hAnsi="宋体" w:eastAsia="宋体"/>
          <w:color w:val="0C0C0C"/>
          <w:kern w:val="2"/>
          <w:sz w:val="28"/>
          <w:szCs w:val="28"/>
          <w:highlight w:val="none"/>
        </w:rPr>
        <w:t>4.参加本项目政府采购活动前三年内，本单位未因违法经营受到刑事处罚或者责令停产停业、吊销许可证或者执照、较大数额罚款（根据各地方、各部门明确的听证范围确定较大数额罚款的额度）等行政处罚；</w:t>
      </w:r>
    </w:p>
    <w:p w14:paraId="5D0FB33F">
      <w:pPr>
        <w:pStyle w:val="22"/>
        <w:tabs>
          <w:tab w:val="left" w:pos="0"/>
        </w:tabs>
        <w:spacing w:line="500" w:lineRule="exact"/>
        <w:ind w:firstLine="560"/>
        <w:rPr>
          <w:rFonts w:ascii="宋体" w:hAnsi="宋体" w:eastAsia="宋体"/>
          <w:color w:val="0C0C0C"/>
          <w:kern w:val="2"/>
          <w:sz w:val="28"/>
          <w:szCs w:val="28"/>
          <w:highlight w:val="none"/>
        </w:rPr>
      </w:pPr>
      <w:r>
        <w:rPr>
          <w:rFonts w:hint="eastAsia" w:ascii="宋体" w:hAnsi="宋体" w:eastAsia="宋体"/>
          <w:color w:val="0C0C0C"/>
          <w:kern w:val="2"/>
          <w:sz w:val="28"/>
          <w:szCs w:val="28"/>
          <w:highlight w:val="none"/>
        </w:rPr>
        <w:t>5.经“信用中国”网站(www.creditchina.gov.cn)、中国政府采购网(www.ccgp.gov.cn)查询，参加本项目政府采购活动前三年内，本单位未被列入信用记录失信被执行人、重大税收违法案件当事人名单、政府采购严重违法失信行为记录名单；</w:t>
      </w:r>
    </w:p>
    <w:p w14:paraId="382AC6D5">
      <w:pPr>
        <w:pStyle w:val="22"/>
        <w:tabs>
          <w:tab w:val="left" w:pos="0"/>
        </w:tabs>
        <w:spacing w:line="500" w:lineRule="exact"/>
        <w:ind w:firstLine="560"/>
        <w:rPr>
          <w:rFonts w:ascii="宋体" w:hAnsi="宋体" w:eastAsia="宋体"/>
          <w:color w:val="0C0C0C"/>
          <w:kern w:val="2"/>
          <w:sz w:val="28"/>
          <w:szCs w:val="28"/>
          <w:highlight w:val="none"/>
        </w:rPr>
      </w:pPr>
      <w:r>
        <w:rPr>
          <w:rFonts w:hint="eastAsia" w:ascii="宋体" w:hAnsi="宋体" w:eastAsia="宋体"/>
          <w:color w:val="0C0C0C"/>
          <w:kern w:val="2"/>
          <w:sz w:val="28"/>
          <w:szCs w:val="28"/>
          <w:highlight w:val="none"/>
        </w:rPr>
        <w:t>6.</w:t>
      </w:r>
      <w:r>
        <w:rPr>
          <w:rFonts w:ascii="宋体" w:hAnsi="宋体" w:eastAsia="宋体"/>
          <w:color w:val="0C0C0C"/>
          <w:kern w:val="2"/>
          <w:sz w:val="28"/>
          <w:szCs w:val="28"/>
          <w:highlight w:val="none"/>
        </w:rPr>
        <w:t>本单位未与单位负责人为同一人或者存在直接控股、管理关系的其它供应商，参加本项目同一合同项下的政府采购活动；未为本采购项目提供整体设计、规范编制或者项目管理、监理、检测等服务</w:t>
      </w:r>
      <w:r>
        <w:rPr>
          <w:rFonts w:hint="eastAsia" w:ascii="宋体" w:hAnsi="宋体" w:eastAsia="宋体"/>
          <w:color w:val="0C0C0C"/>
          <w:kern w:val="2"/>
          <w:sz w:val="28"/>
          <w:szCs w:val="28"/>
          <w:highlight w:val="none"/>
        </w:rPr>
        <w:t>。</w:t>
      </w:r>
    </w:p>
    <w:p w14:paraId="48B3AA02">
      <w:pPr>
        <w:pStyle w:val="22"/>
        <w:tabs>
          <w:tab w:val="left" w:pos="0"/>
        </w:tabs>
        <w:spacing w:line="500" w:lineRule="exact"/>
        <w:ind w:firstLine="560"/>
        <w:rPr>
          <w:rFonts w:ascii="宋体" w:hAnsi="宋体" w:eastAsia="宋体"/>
          <w:bCs/>
          <w:color w:val="0C0C0C"/>
          <w:kern w:val="2"/>
          <w:sz w:val="28"/>
          <w:szCs w:val="28"/>
          <w:highlight w:val="none"/>
        </w:rPr>
      </w:pPr>
      <w:r>
        <w:rPr>
          <w:rFonts w:hint="eastAsia" w:ascii="宋体" w:hAnsi="宋体" w:eastAsia="宋体"/>
          <w:color w:val="0C0C0C"/>
          <w:kern w:val="2"/>
          <w:sz w:val="28"/>
          <w:szCs w:val="28"/>
          <w:highlight w:val="none"/>
        </w:rPr>
        <w:t>我单位对上述声明承诺内容的真实性负责。如有虚假，将依法承担相应责任。</w:t>
      </w:r>
    </w:p>
    <w:p w14:paraId="69290C44">
      <w:pPr>
        <w:pStyle w:val="22"/>
        <w:spacing w:line="500" w:lineRule="exact"/>
        <w:ind w:firstLine="3910" w:firstLineChars="1382"/>
        <w:rPr>
          <w:rFonts w:ascii="宋体" w:hAnsi="宋体" w:eastAsia="宋体"/>
          <w:bCs/>
          <w:color w:val="0C0C0C"/>
          <w:kern w:val="2"/>
          <w:sz w:val="28"/>
          <w:szCs w:val="28"/>
          <w:highlight w:val="none"/>
          <w:lang w:val="zh-CN"/>
        </w:rPr>
      </w:pPr>
      <w:r>
        <w:rPr>
          <w:rFonts w:hint="eastAsia" w:ascii="宋体" w:hAnsi="宋体" w:eastAsia="宋体"/>
          <w:bCs/>
          <w:color w:val="0C0C0C"/>
          <w:kern w:val="2"/>
          <w:sz w:val="28"/>
          <w:szCs w:val="28"/>
          <w:highlight w:val="none"/>
        </w:rPr>
        <w:t>供应商</w:t>
      </w:r>
      <w:r>
        <w:rPr>
          <w:rFonts w:hint="eastAsia" w:ascii="宋体" w:hAnsi="宋体" w:eastAsia="宋体"/>
          <w:bCs/>
          <w:color w:val="0C0C0C"/>
          <w:kern w:val="2"/>
          <w:sz w:val="28"/>
          <w:szCs w:val="28"/>
          <w:highlight w:val="none"/>
          <w:lang w:val="zh-CN"/>
        </w:rPr>
        <w:t>（盖章）：</w:t>
      </w:r>
    </w:p>
    <w:p w14:paraId="4B1F7498">
      <w:pPr>
        <w:pStyle w:val="22"/>
        <w:spacing w:line="500" w:lineRule="exact"/>
        <w:ind w:firstLine="3962" w:firstLineChars="1400"/>
        <w:rPr>
          <w:rFonts w:ascii="宋体" w:hAnsi="宋体" w:eastAsia="宋体"/>
          <w:bCs/>
          <w:color w:val="0C0C0C"/>
          <w:kern w:val="2"/>
          <w:sz w:val="28"/>
          <w:szCs w:val="28"/>
          <w:highlight w:val="none"/>
          <w:lang w:val="zh-CN"/>
        </w:rPr>
      </w:pPr>
      <w:r>
        <w:rPr>
          <w:rFonts w:hint="eastAsia" w:ascii="宋体" w:hAnsi="宋体" w:eastAsia="宋体"/>
          <w:bCs/>
          <w:color w:val="0C0C0C"/>
          <w:kern w:val="2"/>
          <w:sz w:val="28"/>
          <w:szCs w:val="28"/>
          <w:highlight w:val="none"/>
        </w:rPr>
        <w:t>供应商</w:t>
      </w:r>
      <w:r>
        <w:rPr>
          <w:rFonts w:hint="eastAsia" w:ascii="宋体" w:hAnsi="宋体" w:eastAsia="宋体"/>
          <w:bCs/>
          <w:color w:val="0C0C0C"/>
          <w:kern w:val="2"/>
          <w:sz w:val="28"/>
          <w:szCs w:val="28"/>
          <w:highlight w:val="none"/>
          <w:lang w:val="zh-CN"/>
        </w:rPr>
        <w:t>法定代表人（签字或盖章）：</w:t>
      </w:r>
    </w:p>
    <w:p w14:paraId="1054B2FF">
      <w:pPr>
        <w:pStyle w:val="22"/>
        <w:spacing w:line="500" w:lineRule="exact"/>
        <w:ind w:firstLine="5094" w:firstLineChars="1800"/>
        <w:rPr>
          <w:rFonts w:ascii="黑体" w:hAnsi="黑体" w:eastAsia="宋体"/>
          <w:b/>
          <w:color w:val="0C0C0C"/>
          <w:kern w:val="2"/>
          <w:sz w:val="36"/>
          <w:szCs w:val="36"/>
          <w:highlight w:val="none"/>
        </w:rPr>
      </w:pPr>
      <w:r>
        <w:rPr>
          <w:rFonts w:hint="eastAsia" w:hAnsi="宋体" w:eastAsia="宋体"/>
          <w:color w:val="0C0C0C"/>
          <w:kern w:val="2"/>
          <w:sz w:val="28"/>
          <w:szCs w:val="28"/>
          <w:highlight w:val="none"/>
        </w:rPr>
        <w:t>年    月     日</w:t>
      </w:r>
    </w:p>
    <w:p w14:paraId="1052D74E">
      <w:pPr>
        <w:pStyle w:val="11"/>
        <w:keepNext w:val="0"/>
        <w:keepLines w:val="0"/>
        <w:pageBreakBefore w:val="0"/>
        <w:widowControl w:val="0"/>
        <w:kinsoku/>
        <w:wordWrap/>
        <w:overflowPunct/>
        <w:topLinePunct w:val="0"/>
        <w:autoSpaceDE/>
        <w:autoSpaceDN/>
        <w:bidi w:val="0"/>
        <w:adjustRightInd/>
        <w:snapToGrid/>
        <w:spacing w:line="700" w:lineRule="exact"/>
        <w:ind w:firstLine="720"/>
        <w:textAlignment w:val="auto"/>
        <w:rPr>
          <w:rFonts w:hAnsi="宋体"/>
          <w:color w:val="auto"/>
          <w:sz w:val="28"/>
          <w:szCs w:val="28"/>
          <w:highlight w:val="none"/>
          <w:u w:val="single"/>
        </w:rPr>
      </w:pPr>
      <w:r>
        <w:rPr>
          <w:rFonts w:hint="eastAsia" w:hAnsi="宋体"/>
          <w:color w:val="auto"/>
          <w:sz w:val="28"/>
          <w:szCs w:val="28"/>
          <w:highlight w:val="none"/>
        </w:rPr>
        <w:t xml:space="preserve"> </w:t>
      </w:r>
    </w:p>
    <w:p w14:paraId="3117550A">
      <w:pPr>
        <w:spacing w:line="330" w:lineRule="exact"/>
        <w:rPr>
          <w:rFonts w:ascii="宋体" w:cs="宋体"/>
          <w:color w:val="auto"/>
          <w:sz w:val="28"/>
          <w:szCs w:val="28"/>
          <w:highlight w:val="none"/>
        </w:rPr>
        <w:sectPr>
          <w:pgSz w:w="11906" w:h="16838"/>
          <w:pgMar w:top="1134" w:right="1134" w:bottom="1134" w:left="1134" w:header="851" w:footer="992" w:gutter="0"/>
          <w:cols w:space="720" w:num="1"/>
          <w:titlePg/>
          <w:docGrid w:type="linesAndChars" w:linePitch="312" w:charSpace="735"/>
        </w:sectPr>
      </w:pPr>
    </w:p>
    <w:p w14:paraId="14870978">
      <w:pPr>
        <w:pStyle w:val="28"/>
        <w:spacing w:before="0" w:after="0" w:line="415" w:lineRule="auto"/>
        <w:jc w:val="center"/>
        <w:outlineLvl w:val="1"/>
        <w:rPr>
          <w:highlight w:val="none"/>
        </w:rPr>
      </w:pPr>
      <w:bookmarkStart w:id="129" w:name="_Toc8200"/>
      <w:bookmarkStart w:id="130" w:name="_Toc90299664"/>
      <w:bookmarkStart w:id="131" w:name="_Toc38351455"/>
      <w:bookmarkStart w:id="132" w:name="_Toc13195"/>
      <w:bookmarkStart w:id="133" w:name="_Toc121326914"/>
      <w:bookmarkStart w:id="134" w:name="_Toc11642"/>
      <w:r>
        <w:rPr>
          <w:rFonts w:hint="eastAsia"/>
          <w:highlight w:val="none"/>
        </w:rPr>
        <w:t>类似项目业绩表</w:t>
      </w:r>
      <w:bookmarkEnd w:id="129"/>
      <w:bookmarkEnd w:id="130"/>
      <w:bookmarkEnd w:id="131"/>
      <w:bookmarkEnd w:id="132"/>
    </w:p>
    <w:p w14:paraId="03F2AC34">
      <w:pPr>
        <w:pStyle w:val="29"/>
        <w:adjustRightInd w:val="0"/>
        <w:snapToGrid w:val="0"/>
        <w:spacing w:line="500" w:lineRule="exact"/>
        <w:rPr>
          <w:rFonts w:ascii="宋体" w:hAnsi="宋体"/>
          <w:sz w:val="28"/>
          <w:szCs w:val="28"/>
          <w:highlight w:val="none"/>
        </w:rPr>
      </w:pPr>
      <w:r>
        <w:rPr>
          <w:rFonts w:hint="eastAsia" w:ascii="宋体" w:hAnsi="宋体"/>
          <w:sz w:val="28"/>
          <w:szCs w:val="28"/>
          <w:highlight w:val="none"/>
        </w:rPr>
        <w:t>采购项目编号：</w:t>
      </w:r>
      <w:r>
        <w:rPr>
          <w:rFonts w:hint="eastAsia" w:ascii="宋体" w:hAnsi="宋体"/>
          <w:sz w:val="28"/>
          <w:szCs w:val="28"/>
          <w:highlight w:val="none"/>
          <w:u w:val="single"/>
        </w:rPr>
        <w:t xml:space="preserve">                              </w:t>
      </w:r>
      <w:r>
        <w:rPr>
          <w:rFonts w:hint="eastAsia" w:ascii="宋体" w:hAnsi="宋体"/>
          <w:sz w:val="28"/>
          <w:szCs w:val="28"/>
          <w:highlight w:val="none"/>
        </w:rPr>
        <w:t xml:space="preserve">     </w:t>
      </w:r>
    </w:p>
    <w:p w14:paraId="6754DFAB">
      <w:pPr>
        <w:pStyle w:val="29"/>
        <w:adjustRightInd w:val="0"/>
        <w:snapToGrid w:val="0"/>
        <w:spacing w:line="500" w:lineRule="exact"/>
        <w:rPr>
          <w:rFonts w:ascii="宋体" w:hAnsi="宋体"/>
          <w:sz w:val="28"/>
          <w:szCs w:val="28"/>
          <w:highlight w:val="none"/>
          <w:u w:val="single"/>
        </w:rPr>
      </w:pPr>
      <w:r>
        <w:rPr>
          <w:rFonts w:hint="eastAsia" w:ascii="宋体" w:hAnsi="宋体"/>
          <w:sz w:val="28"/>
          <w:szCs w:val="28"/>
          <w:highlight w:val="none"/>
        </w:rPr>
        <w:t>采购项目名称：</w:t>
      </w:r>
      <w:r>
        <w:rPr>
          <w:rFonts w:hint="eastAsia" w:ascii="宋体" w:hAnsi="宋体"/>
          <w:sz w:val="28"/>
          <w:szCs w:val="28"/>
          <w:highlight w:val="none"/>
          <w:u w:val="single"/>
        </w:rPr>
        <w:t xml:space="preserve">                              </w:t>
      </w:r>
    </w:p>
    <w:p w14:paraId="50E2A120">
      <w:pPr>
        <w:pStyle w:val="30"/>
        <w:ind w:firstLine="400"/>
        <w:rPr>
          <w:rFonts w:ascii="宋体" w:hAnsi="宋体"/>
          <w:highlight w:val="none"/>
        </w:rPr>
      </w:pP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08"/>
        <w:gridCol w:w="7200"/>
      </w:tblGrid>
      <w:tr w14:paraId="5A3CD9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89" w:hRule="atLeast"/>
          <w:jc w:val="center"/>
        </w:trPr>
        <w:tc>
          <w:tcPr>
            <w:tcW w:w="1908" w:type="dxa"/>
            <w:noWrap w:val="0"/>
            <w:vAlign w:val="center"/>
          </w:tcPr>
          <w:p w14:paraId="6CD09884">
            <w:pPr>
              <w:pStyle w:val="29"/>
              <w:jc w:val="center"/>
              <w:rPr>
                <w:rFonts w:ascii="宋体" w:hAnsi="宋体"/>
                <w:sz w:val="28"/>
                <w:szCs w:val="28"/>
                <w:highlight w:val="none"/>
              </w:rPr>
            </w:pPr>
            <w:r>
              <w:rPr>
                <w:rFonts w:hint="eastAsia" w:ascii="宋体" w:hAnsi="宋体"/>
                <w:sz w:val="28"/>
                <w:szCs w:val="28"/>
                <w:highlight w:val="none"/>
              </w:rPr>
              <w:t>项目名称</w:t>
            </w:r>
          </w:p>
        </w:tc>
        <w:tc>
          <w:tcPr>
            <w:tcW w:w="7200" w:type="dxa"/>
            <w:noWrap w:val="0"/>
            <w:vAlign w:val="top"/>
          </w:tcPr>
          <w:p w14:paraId="519AF65E">
            <w:pPr>
              <w:pStyle w:val="29"/>
              <w:jc w:val="center"/>
              <w:rPr>
                <w:rFonts w:ascii="宋体" w:hAnsi="宋体"/>
                <w:sz w:val="28"/>
                <w:szCs w:val="28"/>
                <w:highlight w:val="none"/>
              </w:rPr>
            </w:pPr>
          </w:p>
        </w:tc>
      </w:tr>
      <w:tr w14:paraId="36B562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1908" w:type="dxa"/>
            <w:noWrap w:val="0"/>
            <w:vAlign w:val="center"/>
          </w:tcPr>
          <w:p w14:paraId="0F484402">
            <w:pPr>
              <w:pStyle w:val="29"/>
              <w:jc w:val="center"/>
              <w:rPr>
                <w:rFonts w:ascii="宋体" w:hAnsi="宋体"/>
                <w:sz w:val="28"/>
                <w:szCs w:val="28"/>
                <w:highlight w:val="none"/>
              </w:rPr>
            </w:pPr>
            <w:r>
              <w:rPr>
                <w:rFonts w:hint="eastAsia" w:ascii="宋体" w:hAnsi="宋体"/>
                <w:sz w:val="28"/>
                <w:szCs w:val="28"/>
                <w:highlight w:val="none"/>
              </w:rPr>
              <w:t>项目单位名称</w:t>
            </w:r>
          </w:p>
        </w:tc>
        <w:tc>
          <w:tcPr>
            <w:tcW w:w="7200" w:type="dxa"/>
            <w:noWrap w:val="0"/>
            <w:vAlign w:val="top"/>
          </w:tcPr>
          <w:p w14:paraId="3F7EDC3E">
            <w:pPr>
              <w:pStyle w:val="29"/>
              <w:jc w:val="center"/>
              <w:rPr>
                <w:rFonts w:ascii="宋体" w:hAnsi="宋体"/>
                <w:sz w:val="28"/>
                <w:szCs w:val="28"/>
                <w:highlight w:val="none"/>
              </w:rPr>
            </w:pPr>
          </w:p>
        </w:tc>
      </w:tr>
      <w:tr w14:paraId="53D8E3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3" w:hRule="atLeast"/>
          <w:jc w:val="center"/>
        </w:trPr>
        <w:tc>
          <w:tcPr>
            <w:tcW w:w="1908" w:type="dxa"/>
            <w:noWrap w:val="0"/>
            <w:vAlign w:val="center"/>
          </w:tcPr>
          <w:p w14:paraId="4ADA589E">
            <w:pPr>
              <w:pStyle w:val="29"/>
              <w:jc w:val="center"/>
              <w:rPr>
                <w:rFonts w:ascii="宋体" w:hAnsi="宋体"/>
                <w:sz w:val="28"/>
                <w:szCs w:val="28"/>
                <w:highlight w:val="none"/>
              </w:rPr>
            </w:pPr>
            <w:r>
              <w:rPr>
                <w:rFonts w:hint="eastAsia" w:ascii="宋体" w:hAnsi="宋体"/>
                <w:sz w:val="28"/>
                <w:szCs w:val="28"/>
                <w:highlight w:val="none"/>
              </w:rPr>
              <w:t>项目单位联系人姓名及联系方式</w:t>
            </w:r>
          </w:p>
        </w:tc>
        <w:tc>
          <w:tcPr>
            <w:tcW w:w="7200" w:type="dxa"/>
            <w:noWrap w:val="0"/>
            <w:vAlign w:val="top"/>
          </w:tcPr>
          <w:p w14:paraId="795C8B8E">
            <w:pPr>
              <w:pStyle w:val="29"/>
              <w:jc w:val="center"/>
              <w:rPr>
                <w:rFonts w:ascii="宋体" w:hAnsi="宋体"/>
                <w:sz w:val="28"/>
                <w:szCs w:val="28"/>
                <w:highlight w:val="none"/>
              </w:rPr>
            </w:pPr>
          </w:p>
        </w:tc>
      </w:tr>
      <w:tr w14:paraId="75858E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1908" w:type="dxa"/>
            <w:noWrap w:val="0"/>
            <w:vAlign w:val="center"/>
          </w:tcPr>
          <w:p w14:paraId="2A19335D">
            <w:pPr>
              <w:pStyle w:val="29"/>
              <w:jc w:val="center"/>
              <w:rPr>
                <w:rFonts w:ascii="宋体" w:hAnsi="宋体"/>
                <w:sz w:val="28"/>
                <w:szCs w:val="28"/>
                <w:highlight w:val="none"/>
              </w:rPr>
            </w:pPr>
            <w:r>
              <w:rPr>
                <w:rFonts w:hint="eastAsia" w:ascii="宋体" w:hAnsi="宋体"/>
                <w:sz w:val="28"/>
                <w:szCs w:val="28"/>
                <w:highlight w:val="none"/>
              </w:rPr>
              <w:t>合同金额</w:t>
            </w:r>
          </w:p>
        </w:tc>
        <w:tc>
          <w:tcPr>
            <w:tcW w:w="7200" w:type="dxa"/>
            <w:noWrap w:val="0"/>
            <w:vAlign w:val="top"/>
          </w:tcPr>
          <w:p w14:paraId="67AAB4B6">
            <w:pPr>
              <w:pStyle w:val="29"/>
              <w:jc w:val="center"/>
              <w:rPr>
                <w:rFonts w:ascii="宋体" w:hAnsi="宋体"/>
                <w:sz w:val="28"/>
                <w:szCs w:val="28"/>
                <w:highlight w:val="none"/>
              </w:rPr>
            </w:pPr>
          </w:p>
        </w:tc>
      </w:tr>
      <w:tr w14:paraId="146284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1908" w:type="dxa"/>
            <w:noWrap w:val="0"/>
            <w:vAlign w:val="center"/>
          </w:tcPr>
          <w:p w14:paraId="1BFF789C">
            <w:pPr>
              <w:pStyle w:val="29"/>
              <w:jc w:val="center"/>
              <w:rPr>
                <w:rFonts w:ascii="宋体" w:hAnsi="宋体"/>
                <w:sz w:val="28"/>
                <w:szCs w:val="28"/>
                <w:highlight w:val="none"/>
              </w:rPr>
            </w:pPr>
            <w:r>
              <w:rPr>
                <w:rFonts w:hint="eastAsia" w:ascii="宋体" w:hAnsi="宋体"/>
                <w:sz w:val="28"/>
                <w:szCs w:val="28"/>
                <w:highlight w:val="none"/>
              </w:rPr>
              <w:t>项目负责人</w:t>
            </w:r>
          </w:p>
          <w:p w14:paraId="17F1F494">
            <w:pPr>
              <w:pStyle w:val="29"/>
              <w:jc w:val="center"/>
              <w:rPr>
                <w:rFonts w:ascii="宋体" w:hAnsi="宋体"/>
                <w:sz w:val="28"/>
                <w:szCs w:val="28"/>
                <w:highlight w:val="none"/>
              </w:rPr>
            </w:pPr>
            <w:r>
              <w:rPr>
                <w:rFonts w:hint="eastAsia" w:ascii="宋体" w:hAnsi="宋体"/>
                <w:sz w:val="28"/>
                <w:szCs w:val="28"/>
                <w:highlight w:val="none"/>
              </w:rPr>
              <w:t>姓名</w:t>
            </w:r>
          </w:p>
        </w:tc>
        <w:tc>
          <w:tcPr>
            <w:tcW w:w="7200" w:type="dxa"/>
            <w:noWrap w:val="0"/>
            <w:vAlign w:val="top"/>
          </w:tcPr>
          <w:p w14:paraId="13901E5B">
            <w:pPr>
              <w:pStyle w:val="29"/>
              <w:jc w:val="center"/>
              <w:rPr>
                <w:rFonts w:ascii="宋体" w:hAnsi="宋体"/>
                <w:sz w:val="28"/>
                <w:szCs w:val="28"/>
                <w:highlight w:val="none"/>
              </w:rPr>
            </w:pPr>
          </w:p>
        </w:tc>
      </w:tr>
      <w:tr w14:paraId="5BF1B0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jc w:val="center"/>
        </w:trPr>
        <w:tc>
          <w:tcPr>
            <w:tcW w:w="1908" w:type="dxa"/>
            <w:noWrap w:val="0"/>
            <w:vAlign w:val="center"/>
          </w:tcPr>
          <w:p w14:paraId="2D8AEE06">
            <w:pPr>
              <w:pStyle w:val="29"/>
              <w:jc w:val="center"/>
              <w:rPr>
                <w:rFonts w:ascii="宋体" w:hAnsi="宋体"/>
                <w:sz w:val="28"/>
                <w:szCs w:val="28"/>
                <w:highlight w:val="none"/>
              </w:rPr>
            </w:pPr>
            <w:r>
              <w:rPr>
                <w:rFonts w:hint="eastAsia" w:ascii="宋体" w:hAnsi="宋体"/>
                <w:sz w:val="28"/>
                <w:szCs w:val="28"/>
                <w:highlight w:val="none"/>
              </w:rPr>
              <w:t>项目实施时间</w:t>
            </w:r>
          </w:p>
        </w:tc>
        <w:tc>
          <w:tcPr>
            <w:tcW w:w="7200" w:type="dxa"/>
            <w:noWrap w:val="0"/>
            <w:vAlign w:val="top"/>
          </w:tcPr>
          <w:p w14:paraId="006E60CD">
            <w:pPr>
              <w:pStyle w:val="29"/>
              <w:jc w:val="center"/>
              <w:rPr>
                <w:rFonts w:ascii="宋体" w:hAnsi="宋体"/>
                <w:sz w:val="28"/>
                <w:szCs w:val="28"/>
                <w:highlight w:val="none"/>
              </w:rPr>
            </w:pPr>
          </w:p>
        </w:tc>
      </w:tr>
      <w:tr w14:paraId="7851F5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3" w:hRule="atLeast"/>
          <w:jc w:val="center"/>
        </w:trPr>
        <w:tc>
          <w:tcPr>
            <w:tcW w:w="1908" w:type="dxa"/>
            <w:noWrap w:val="0"/>
            <w:vAlign w:val="center"/>
          </w:tcPr>
          <w:p w14:paraId="1D28EC37">
            <w:pPr>
              <w:pStyle w:val="29"/>
              <w:jc w:val="center"/>
              <w:rPr>
                <w:rFonts w:ascii="宋体" w:hAnsi="宋体"/>
                <w:sz w:val="28"/>
                <w:szCs w:val="28"/>
                <w:highlight w:val="none"/>
              </w:rPr>
            </w:pPr>
            <w:r>
              <w:rPr>
                <w:rFonts w:hint="eastAsia" w:ascii="宋体" w:hAnsi="宋体"/>
                <w:sz w:val="28"/>
                <w:szCs w:val="28"/>
                <w:highlight w:val="none"/>
              </w:rPr>
              <w:t>项目内容说明</w:t>
            </w:r>
          </w:p>
        </w:tc>
        <w:tc>
          <w:tcPr>
            <w:tcW w:w="7200" w:type="dxa"/>
            <w:noWrap w:val="0"/>
            <w:vAlign w:val="top"/>
          </w:tcPr>
          <w:p w14:paraId="2AC6246A">
            <w:pPr>
              <w:pStyle w:val="29"/>
              <w:jc w:val="center"/>
              <w:rPr>
                <w:rFonts w:ascii="宋体" w:hAnsi="宋体"/>
                <w:sz w:val="28"/>
                <w:szCs w:val="28"/>
                <w:highlight w:val="none"/>
              </w:rPr>
            </w:pPr>
          </w:p>
        </w:tc>
      </w:tr>
    </w:tbl>
    <w:p w14:paraId="30AB0BBE">
      <w:pPr>
        <w:pStyle w:val="29"/>
        <w:autoSpaceDE w:val="0"/>
        <w:autoSpaceDN w:val="0"/>
        <w:spacing w:line="360" w:lineRule="auto"/>
        <w:ind w:firstLine="560" w:firstLineChars="200"/>
        <w:rPr>
          <w:rFonts w:ascii="宋体" w:hAnsi="宋体"/>
          <w:sz w:val="28"/>
          <w:szCs w:val="28"/>
          <w:highlight w:val="none"/>
        </w:rPr>
      </w:pPr>
      <w:r>
        <w:rPr>
          <w:rFonts w:hint="eastAsia" w:ascii="宋体" w:hAnsi="宋体"/>
          <w:sz w:val="28"/>
          <w:szCs w:val="28"/>
          <w:highlight w:val="none"/>
        </w:rPr>
        <w:t>说明：1．每个合同须单独附表，并附上相关证明材料，否则专家在评审时将不予采信；</w:t>
      </w:r>
    </w:p>
    <w:p w14:paraId="03B60313">
      <w:pPr>
        <w:pStyle w:val="29"/>
        <w:spacing w:line="360" w:lineRule="auto"/>
        <w:ind w:firstLine="560" w:firstLineChars="200"/>
        <w:rPr>
          <w:rFonts w:ascii="宋体" w:hAnsi="宋体"/>
          <w:sz w:val="28"/>
          <w:szCs w:val="28"/>
          <w:highlight w:val="none"/>
        </w:rPr>
      </w:pPr>
      <w:r>
        <w:rPr>
          <w:rFonts w:hint="eastAsia" w:ascii="宋体" w:hAnsi="宋体"/>
          <w:sz w:val="28"/>
          <w:szCs w:val="28"/>
          <w:highlight w:val="none"/>
        </w:rPr>
        <w:t>2．项目内容请详细说明所承担的具体工作内容。</w:t>
      </w:r>
    </w:p>
    <w:p w14:paraId="7D3C5899">
      <w:pPr>
        <w:pStyle w:val="23"/>
        <w:autoSpaceDE w:val="0"/>
        <w:autoSpaceDN w:val="0"/>
        <w:adjustRightInd w:val="0"/>
        <w:spacing w:line="500" w:lineRule="exact"/>
        <w:ind w:firstLine="0" w:firstLineChars="0"/>
        <w:jc w:val="center"/>
        <w:outlineLvl w:val="9"/>
        <w:rPr>
          <w:rFonts w:hint="eastAsia" w:ascii="宋体" w:hAnsi="宋体" w:eastAsia="宋体" w:cs="宋体"/>
          <w:color w:val="auto"/>
          <w:sz w:val="28"/>
          <w:szCs w:val="28"/>
          <w:highlight w:val="none"/>
          <w:lang w:eastAsia="zh-CN"/>
        </w:rPr>
        <w:sectPr>
          <w:pgSz w:w="11911" w:h="16838"/>
          <w:pgMar w:top="1134" w:right="1134" w:bottom="1134" w:left="1134" w:header="283" w:footer="567" w:gutter="0"/>
          <w:cols w:space="720" w:num="1"/>
          <w:titlePg/>
          <w:docGrid w:linePitch="312" w:charSpace="0"/>
        </w:sectPr>
      </w:pPr>
    </w:p>
    <w:bookmarkEnd w:id="133"/>
    <w:bookmarkEnd w:id="134"/>
    <w:p w14:paraId="593D668A">
      <w:pPr>
        <w:pStyle w:val="23"/>
        <w:autoSpaceDE w:val="0"/>
        <w:autoSpaceDN w:val="0"/>
        <w:adjustRightInd w:val="0"/>
        <w:spacing w:line="500" w:lineRule="exact"/>
        <w:ind w:firstLine="0" w:firstLineChars="0"/>
        <w:jc w:val="center"/>
        <w:outlineLvl w:val="1"/>
        <w:rPr>
          <w:rFonts w:ascii="宋体" w:hAnsi="宋体" w:eastAsia="宋体"/>
          <w:b/>
          <w:color w:val="auto"/>
          <w:sz w:val="36"/>
          <w:szCs w:val="36"/>
          <w:highlight w:val="none"/>
        </w:rPr>
      </w:pPr>
      <w:bookmarkStart w:id="135" w:name="_Toc17335"/>
      <w:r>
        <w:rPr>
          <w:rFonts w:hint="eastAsia" w:ascii="宋体" w:hAnsi="宋体" w:eastAsia="宋体"/>
          <w:b/>
          <w:color w:val="auto"/>
          <w:sz w:val="36"/>
          <w:szCs w:val="36"/>
          <w:highlight w:val="none"/>
        </w:rPr>
        <w:t>中小企业声明函</w:t>
      </w:r>
      <w:bookmarkEnd w:id="135"/>
    </w:p>
    <w:p w14:paraId="4A7AF719">
      <w:pPr>
        <w:pStyle w:val="23"/>
        <w:adjustRightInd w:val="0"/>
        <w:snapToGrid w:val="0"/>
        <w:spacing w:before="120" w:beforeLines="50" w:after="120" w:afterLines="50"/>
        <w:ind w:firstLine="0" w:firstLineChars="0"/>
        <w:jc w:val="center"/>
        <w:rPr>
          <w:rFonts w:ascii="宋体" w:hAnsi="Courier New" w:eastAsia="宋体"/>
          <w:color w:val="auto"/>
          <w:sz w:val="28"/>
          <w:szCs w:val="28"/>
          <w:highlight w:val="none"/>
        </w:rPr>
      </w:pPr>
      <w:r>
        <w:rPr>
          <w:rFonts w:hint="eastAsia" w:ascii="宋体" w:hAnsi="Courier New" w:eastAsia="宋体"/>
          <w:color w:val="auto"/>
          <w:sz w:val="28"/>
          <w:szCs w:val="28"/>
          <w:highlight w:val="none"/>
        </w:rPr>
        <w:t>（适用于工程、服务类项目）</w:t>
      </w:r>
    </w:p>
    <w:p w14:paraId="14B1B9B1">
      <w:pPr>
        <w:pStyle w:val="23"/>
        <w:spacing w:line="360" w:lineRule="auto"/>
        <w:ind w:firstLine="480"/>
        <w:jc w:val="left"/>
        <w:rPr>
          <w:rFonts w:ascii="宋体" w:hAnsi="宋体" w:eastAsia="宋体"/>
          <w:color w:val="auto"/>
          <w:sz w:val="28"/>
          <w:szCs w:val="28"/>
          <w:highlight w:val="none"/>
        </w:rPr>
      </w:pPr>
      <w:r>
        <w:rPr>
          <w:rFonts w:hint="eastAsia" w:ascii="宋体" w:hAnsi="宋体" w:eastAsia="宋体"/>
          <w:color w:val="auto"/>
          <w:sz w:val="28"/>
          <w:szCs w:val="28"/>
          <w:highlight w:val="none"/>
        </w:rPr>
        <w:t>本公司（联合体）郑重声明，根据《政府采购促进中小企业发展管理办法》（财库 ﹝2020﹞46号）的规定，本公司（联合体）参加（单位名称）的（项目名称）采购活动，工程的施工单位全部为符合政策要求的中小企业（或者：服务全部由符合政策要求的中小企业承接）。相关企业（含联合体中的中小企业、签订分包意向协议的中小企业）的具体情况如下：</w:t>
      </w:r>
    </w:p>
    <w:p w14:paraId="12DFA7D1">
      <w:pPr>
        <w:pStyle w:val="23"/>
        <w:spacing w:line="360" w:lineRule="auto"/>
        <w:ind w:firstLine="480"/>
        <w:jc w:val="left"/>
        <w:rPr>
          <w:rFonts w:ascii="宋体" w:hAnsi="宋体" w:eastAsia="宋体"/>
          <w:color w:val="auto"/>
          <w:sz w:val="28"/>
          <w:szCs w:val="28"/>
          <w:highlight w:val="none"/>
        </w:rPr>
      </w:pPr>
      <w:r>
        <w:rPr>
          <w:rFonts w:hint="eastAsia" w:ascii="宋体" w:hAnsi="宋体" w:eastAsia="宋体"/>
          <w:color w:val="auto"/>
          <w:sz w:val="28"/>
          <w:szCs w:val="28"/>
          <w:highlight w:val="none"/>
        </w:rPr>
        <w:t xml:space="preserve">1.（标的名称），属于（采购文件中明确的所属行业）；承建（承接）企业为（企业名称），从业人员人，营业收入为万元，资产总额为万元，属于（中型企业、小型企业、微型企业）； </w:t>
      </w:r>
    </w:p>
    <w:p w14:paraId="125951C2">
      <w:pPr>
        <w:pStyle w:val="23"/>
        <w:spacing w:line="360" w:lineRule="auto"/>
        <w:ind w:firstLine="480"/>
        <w:jc w:val="left"/>
        <w:rPr>
          <w:rFonts w:ascii="宋体" w:hAnsi="宋体" w:eastAsia="宋体"/>
          <w:color w:val="auto"/>
          <w:sz w:val="28"/>
          <w:szCs w:val="28"/>
          <w:highlight w:val="none"/>
        </w:rPr>
      </w:pPr>
      <w:r>
        <w:rPr>
          <w:rFonts w:hint="eastAsia" w:ascii="宋体" w:hAnsi="宋体" w:eastAsia="宋体"/>
          <w:color w:val="auto"/>
          <w:sz w:val="28"/>
          <w:szCs w:val="28"/>
          <w:highlight w:val="none"/>
        </w:rPr>
        <w:t xml:space="preserve">2.（标的名称），属于（采购文件中明确的所属行业）；承建（承接）企业为（企业名称），从业人员人，营业收入为万元，资产总额为万元，属于（中型企业、小型企业、微型企业）； </w:t>
      </w:r>
    </w:p>
    <w:p w14:paraId="4A3F0722">
      <w:pPr>
        <w:pStyle w:val="23"/>
        <w:spacing w:line="360" w:lineRule="auto"/>
        <w:ind w:firstLine="480"/>
        <w:jc w:val="left"/>
        <w:rPr>
          <w:rFonts w:ascii="宋体" w:hAnsi="宋体" w:eastAsia="宋体"/>
          <w:color w:val="auto"/>
          <w:sz w:val="28"/>
          <w:szCs w:val="28"/>
          <w:highlight w:val="none"/>
        </w:rPr>
      </w:pPr>
      <w:r>
        <w:rPr>
          <w:rFonts w:hint="eastAsia" w:ascii="宋体" w:hAnsi="宋体" w:eastAsia="宋体"/>
          <w:color w:val="auto"/>
          <w:sz w:val="28"/>
          <w:szCs w:val="28"/>
          <w:highlight w:val="none"/>
        </w:rPr>
        <w:t>……</w:t>
      </w:r>
    </w:p>
    <w:p w14:paraId="575E2B69">
      <w:pPr>
        <w:pStyle w:val="23"/>
        <w:spacing w:line="360" w:lineRule="auto"/>
        <w:ind w:firstLine="480"/>
        <w:jc w:val="left"/>
        <w:rPr>
          <w:rFonts w:ascii="宋体" w:hAnsi="宋体" w:eastAsia="宋体"/>
          <w:color w:val="auto"/>
          <w:sz w:val="28"/>
          <w:szCs w:val="28"/>
          <w:highlight w:val="none"/>
        </w:rPr>
      </w:pPr>
      <w:r>
        <w:rPr>
          <w:rFonts w:hint="eastAsia" w:ascii="宋体" w:hAnsi="宋体" w:eastAsia="宋体"/>
          <w:color w:val="auto"/>
          <w:sz w:val="28"/>
          <w:szCs w:val="28"/>
          <w:highlight w:val="none"/>
        </w:rPr>
        <w:t>以上企业，不属于大企业的分支机构，不存在控股股东为大企业的情形，也不存在与大企业的负责人为同一人的情形。</w:t>
      </w:r>
    </w:p>
    <w:p w14:paraId="5C5A168B">
      <w:pPr>
        <w:pStyle w:val="23"/>
        <w:spacing w:line="360" w:lineRule="auto"/>
        <w:ind w:firstLine="480"/>
        <w:jc w:val="left"/>
        <w:rPr>
          <w:rFonts w:ascii="宋体" w:hAnsi="宋体" w:eastAsia="宋体"/>
          <w:color w:val="auto"/>
          <w:sz w:val="28"/>
          <w:szCs w:val="28"/>
          <w:highlight w:val="none"/>
        </w:rPr>
      </w:pPr>
      <w:r>
        <w:rPr>
          <w:rFonts w:hint="eastAsia" w:ascii="宋体" w:hAnsi="宋体" w:eastAsia="宋体"/>
          <w:color w:val="auto"/>
          <w:sz w:val="28"/>
          <w:szCs w:val="28"/>
          <w:highlight w:val="none"/>
        </w:rPr>
        <w:t>本企业对上述声明内容的真实性负责。如有虚假，将依法承担相应责任。</w:t>
      </w:r>
    </w:p>
    <w:p w14:paraId="00F5E7D9">
      <w:pPr>
        <w:pStyle w:val="23"/>
        <w:adjustRightInd w:val="0"/>
        <w:snapToGrid w:val="0"/>
        <w:spacing w:line="360" w:lineRule="auto"/>
        <w:ind w:firstLine="0" w:firstLineChars="0"/>
        <w:rPr>
          <w:rFonts w:ascii="宋体" w:hAnsi="宋体" w:eastAsia="宋体"/>
          <w:color w:val="auto"/>
          <w:sz w:val="28"/>
          <w:szCs w:val="28"/>
          <w:highlight w:val="none"/>
        </w:rPr>
      </w:pPr>
    </w:p>
    <w:p w14:paraId="127F2FDA">
      <w:pPr>
        <w:pStyle w:val="23"/>
        <w:spacing w:before="100" w:beforeAutospacing="1" w:after="100" w:afterAutospacing="1" w:line="360" w:lineRule="auto"/>
        <w:ind w:firstLine="5600" w:firstLineChars="2000"/>
        <w:rPr>
          <w:rFonts w:ascii="宋体" w:hAnsi="宋体" w:eastAsia="宋体"/>
          <w:bCs/>
          <w:color w:val="auto"/>
          <w:sz w:val="28"/>
          <w:szCs w:val="28"/>
          <w:highlight w:val="none"/>
          <w:u w:val="single"/>
        </w:rPr>
      </w:pPr>
      <w:r>
        <w:rPr>
          <w:rFonts w:hint="eastAsia" w:ascii="宋体" w:hAnsi="宋体" w:eastAsia="宋体"/>
          <w:bCs/>
          <w:color w:val="auto"/>
          <w:sz w:val="28"/>
          <w:szCs w:val="28"/>
          <w:highlight w:val="none"/>
        </w:rPr>
        <w:t>企业名称（盖章）：</w:t>
      </w:r>
    </w:p>
    <w:p w14:paraId="4077EBFA">
      <w:pPr>
        <w:pStyle w:val="23"/>
        <w:adjustRightInd w:val="0"/>
        <w:snapToGrid w:val="0"/>
        <w:spacing w:line="360" w:lineRule="auto"/>
        <w:ind w:firstLine="5600" w:firstLineChars="2000"/>
        <w:rPr>
          <w:rFonts w:ascii="宋体" w:hAnsi="宋体" w:eastAsia="宋体"/>
          <w:color w:val="auto"/>
          <w:sz w:val="28"/>
          <w:szCs w:val="28"/>
          <w:highlight w:val="none"/>
        </w:rPr>
      </w:pPr>
      <w:r>
        <w:rPr>
          <w:rFonts w:hint="eastAsia" w:ascii="宋体" w:hAnsi="宋体" w:eastAsia="宋体"/>
          <w:bCs/>
          <w:color w:val="auto"/>
          <w:sz w:val="28"/>
          <w:szCs w:val="28"/>
          <w:highlight w:val="none"/>
        </w:rPr>
        <w:t xml:space="preserve">日  期：             </w:t>
      </w:r>
    </w:p>
    <w:p w14:paraId="723C5587">
      <w:pPr>
        <w:pStyle w:val="23"/>
        <w:spacing w:line="360" w:lineRule="auto"/>
        <w:ind w:firstLine="480"/>
        <w:jc w:val="left"/>
        <w:rPr>
          <w:rFonts w:hint="eastAsia" w:ascii="宋体" w:hAnsi="宋体" w:eastAsia="宋体"/>
          <w:color w:val="auto"/>
          <w:sz w:val="28"/>
          <w:szCs w:val="28"/>
          <w:highlight w:val="none"/>
        </w:rPr>
        <w:sectPr>
          <w:pgSz w:w="11911" w:h="16838"/>
          <w:pgMar w:top="850" w:right="1134" w:bottom="850" w:left="1134" w:header="283" w:footer="567" w:gutter="0"/>
          <w:cols w:space="720" w:num="1"/>
          <w:titlePg/>
          <w:docGrid w:linePitch="312" w:charSpace="0"/>
        </w:sectPr>
      </w:pPr>
      <w:r>
        <w:rPr>
          <w:rFonts w:hint="eastAsia" w:ascii="宋体" w:hAnsi="宋体" w:eastAsia="宋体"/>
          <w:color w:val="auto"/>
          <w:sz w:val="28"/>
          <w:szCs w:val="28"/>
          <w:highlight w:val="none"/>
        </w:rPr>
        <w:t>说明：从业人员、营业收入、资产总额填报上一年度数据，无上一年度数据的新成立企业可不填报。</w:t>
      </w:r>
    </w:p>
    <w:p w14:paraId="56905FC6">
      <w:pPr>
        <w:pStyle w:val="4"/>
        <w:spacing w:before="0" w:after="0"/>
        <w:jc w:val="center"/>
        <w:outlineLvl w:val="1"/>
        <w:rPr>
          <w:color w:val="auto"/>
          <w:szCs w:val="32"/>
          <w:highlight w:val="none"/>
        </w:rPr>
      </w:pPr>
      <w:bookmarkStart w:id="136" w:name="_Toc1451"/>
      <w:bookmarkStart w:id="137" w:name="_Toc4264"/>
      <w:bookmarkStart w:id="138" w:name="_Toc104478807"/>
      <w:bookmarkStart w:id="139" w:name="_Toc16896"/>
      <w:bookmarkStart w:id="140" w:name="_Toc126918409"/>
      <w:r>
        <w:rPr>
          <w:rFonts w:hint="eastAsia"/>
          <w:color w:val="auto"/>
          <w:highlight w:val="none"/>
        </w:rPr>
        <w:t>中小企业划型标准</w:t>
      </w:r>
      <w:bookmarkEnd w:id="136"/>
      <w:bookmarkEnd w:id="137"/>
      <w:bookmarkEnd w:id="138"/>
      <w:bookmarkEnd w:id="139"/>
      <w:bookmarkEnd w:id="140"/>
    </w:p>
    <w:tbl>
      <w:tblPr>
        <w:tblStyle w:val="16"/>
        <w:tblW w:w="4819" w:type="pct"/>
        <w:jc w:val="center"/>
        <w:tblLayout w:type="autofit"/>
        <w:tblCellMar>
          <w:top w:w="0" w:type="dxa"/>
          <w:left w:w="108" w:type="dxa"/>
          <w:bottom w:w="0" w:type="dxa"/>
          <w:right w:w="108" w:type="dxa"/>
        </w:tblCellMar>
      </w:tblPr>
      <w:tblGrid>
        <w:gridCol w:w="526"/>
        <w:gridCol w:w="1913"/>
        <w:gridCol w:w="1163"/>
        <w:gridCol w:w="954"/>
        <w:gridCol w:w="911"/>
        <w:gridCol w:w="1074"/>
        <w:gridCol w:w="954"/>
        <w:gridCol w:w="971"/>
        <w:gridCol w:w="1074"/>
        <w:gridCol w:w="954"/>
        <w:gridCol w:w="977"/>
        <w:gridCol w:w="1074"/>
        <w:gridCol w:w="954"/>
        <w:gridCol w:w="856"/>
      </w:tblGrid>
      <w:tr w14:paraId="4D77DB8C">
        <w:tblPrEx>
          <w:tblCellMar>
            <w:top w:w="0" w:type="dxa"/>
            <w:left w:w="108" w:type="dxa"/>
            <w:bottom w:w="0" w:type="dxa"/>
            <w:right w:w="108" w:type="dxa"/>
          </w:tblCellMar>
        </w:tblPrEx>
        <w:trPr>
          <w:trHeight w:val="363" w:hRule="atLeast"/>
          <w:jc w:val="center"/>
        </w:trPr>
        <w:tc>
          <w:tcPr>
            <w:tcW w:w="183" w:type="pct"/>
            <w:vMerge w:val="restart"/>
            <w:tcBorders>
              <w:top w:val="single" w:color="auto" w:sz="4" w:space="0"/>
              <w:left w:val="single" w:color="auto" w:sz="4" w:space="0"/>
              <w:bottom w:val="single" w:color="auto" w:sz="4" w:space="0"/>
              <w:right w:val="single" w:color="auto" w:sz="4" w:space="0"/>
            </w:tcBorders>
            <w:noWrap/>
            <w:vAlign w:val="center"/>
          </w:tcPr>
          <w:p w14:paraId="63F420BE">
            <w:pPr>
              <w:spacing w:line="240" w:lineRule="atLeast"/>
              <w:ind w:left="-48" w:leftChars="-23" w:right="-65" w:rightChars="-31"/>
              <w:jc w:val="center"/>
              <w:rPr>
                <w:rFonts w:hint="eastAsia" w:hAnsi="宋体" w:cs="宋体"/>
                <w:b/>
                <w:color w:val="auto"/>
                <w:kern w:val="0"/>
                <w:szCs w:val="21"/>
                <w:highlight w:val="none"/>
              </w:rPr>
            </w:pPr>
            <w:r>
              <w:rPr>
                <w:rFonts w:hint="eastAsia" w:hAnsi="宋体" w:cs="宋体"/>
                <w:b/>
                <w:color w:val="auto"/>
                <w:kern w:val="0"/>
                <w:szCs w:val="21"/>
                <w:highlight w:val="none"/>
              </w:rPr>
              <w:t>序号</w:t>
            </w:r>
          </w:p>
        </w:tc>
        <w:tc>
          <w:tcPr>
            <w:tcW w:w="666" w:type="pct"/>
            <w:vMerge w:val="restart"/>
            <w:tcBorders>
              <w:top w:val="single" w:color="auto" w:sz="4" w:space="0"/>
              <w:left w:val="nil"/>
              <w:bottom w:val="single" w:color="auto" w:sz="4" w:space="0"/>
              <w:right w:val="single" w:color="auto" w:sz="4" w:space="0"/>
            </w:tcBorders>
            <w:noWrap w:val="0"/>
            <w:vAlign w:val="center"/>
          </w:tcPr>
          <w:p w14:paraId="0F4E1305">
            <w:pPr>
              <w:spacing w:line="240" w:lineRule="atLeast"/>
              <w:ind w:left="-48" w:leftChars="-23" w:right="-65" w:rightChars="-31"/>
              <w:jc w:val="center"/>
              <w:rPr>
                <w:rFonts w:hint="eastAsia" w:hAnsi="宋体" w:cs="宋体"/>
                <w:b/>
                <w:color w:val="auto"/>
                <w:kern w:val="0"/>
                <w:szCs w:val="21"/>
                <w:highlight w:val="none"/>
              </w:rPr>
            </w:pPr>
            <w:r>
              <w:rPr>
                <w:rFonts w:hint="eastAsia" w:hAnsi="宋体" w:cs="宋体"/>
                <w:b/>
                <w:color w:val="auto"/>
                <w:kern w:val="0"/>
                <w:szCs w:val="21"/>
                <w:highlight w:val="none"/>
              </w:rPr>
              <w:t>行业</w:t>
            </w:r>
          </w:p>
        </w:tc>
        <w:tc>
          <w:tcPr>
            <w:tcW w:w="1054" w:type="pct"/>
            <w:gridSpan w:val="3"/>
            <w:tcBorders>
              <w:top w:val="single" w:color="auto" w:sz="4" w:space="0"/>
              <w:left w:val="nil"/>
              <w:bottom w:val="single" w:color="auto" w:sz="4" w:space="0"/>
              <w:right w:val="single" w:color="auto" w:sz="4" w:space="0"/>
            </w:tcBorders>
            <w:noWrap/>
            <w:vAlign w:val="center"/>
          </w:tcPr>
          <w:p w14:paraId="64A83A0F">
            <w:pPr>
              <w:spacing w:line="240" w:lineRule="atLeast"/>
              <w:ind w:left="-48" w:leftChars="-23" w:right="-65" w:rightChars="-31"/>
              <w:jc w:val="center"/>
              <w:rPr>
                <w:rFonts w:hint="eastAsia" w:hAnsi="宋体" w:cs="宋体"/>
                <w:b/>
                <w:color w:val="auto"/>
                <w:kern w:val="0"/>
                <w:szCs w:val="21"/>
                <w:highlight w:val="none"/>
              </w:rPr>
            </w:pPr>
            <w:r>
              <w:rPr>
                <w:rFonts w:hint="eastAsia" w:hAnsi="宋体" w:cs="宋体"/>
                <w:b/>
                <w:color w:val="auto"/>
                <w:kern w:val="0"/>
                <w:szCs w:val="21"/>
                <w:highlight w:val="none"/>
              </w:rPr>
              <w:t>大型企业</w:t>
            </w:r>
          </w:p>
        </w:tc>
        <w:tc>
          <w:tcPr>
            <w:tcW w:w="1044" w:type="pct"/>
            <w:gridSpan w:val="3"/>
            <w:tcBorders>
              <w:top w:val="single" w:color="auto" w:sz="4" w:space="0"/>
              <w:left w:val="nil"/>
              <w:bottom w:val="single" w:color="auto" w:sz="4" w:space="0"/>
              <w:right w:val="single" w:color="auto" w:sz="4" w:space="0"/>
            </w:tcBorders>
            <w:noWrap/>
            <w:vAlign w:val="center"/>
          </w:tcPr>
          <w:p w14:paraId="07A8C938">
            <w:pPr>
              <w:spacing w:line="240" w:lineRule="atLeast"/>
              <w:ind w:left="-48" w:leftChars="-23" w:right="-65" w:rightChars="-31"/>
              <w:jc w:val="center"/>
              <w:rPr>
                <w:rFonts w:hint="eastAsia" w:hAnsi="宋体" w:cs="宋体"/>
                <w:b/>
                <w:color w:val="auto"/>
                <w:kern w:val="0"/>
                <w:szCs w:val="21"/>
                <w:highlight w:val="none"/>
              </w:rPr>
            </w:pPr>
            <w:r>
              <w:rPr>
                <w:rFonts w:hint="eastAsia" w:hAnsi="宋体" w:cs="宋体"/>
                <w:b/>
                <w:color w:val="auto"/>
                <w:kern w:val="0"/>
                <w:szCs w:val="21"/>
                <w:highlight w:val="none"/>
              </w:rPr>
              <w:t>中型企业</w:t>
            </w:r>
          </w:p>
        </w:tc>
        <w:tc>
          <w:tcPr>
            <w:tcW w:w="1046" w:type="pct"/>
            <w:gridSpan w:val="3"/>
            <w:tcBorders>
              <w:top w:val="single" w:color="auto" w:sz="4" w:space="0"/>
              <w:left w:val="nil"/>
              <w:bottom w:val="single" w:color="auto" w:sz="4" w:space="0"/>
              <w:right w:val="single" w:color="auto" w:sz="4" w:space="0"/>
            </w:tcBorders>
            <w:noWrap/>
            <w:vAlign w:val="center"/>
          </w:tcPr>
          <w:p w14:paraId="1424ECE6">
            <w:pPr>
              <w:spacing w:line="240" w:lineRule="atLeast"/>
              <w:ind w:left="-48" w:leftChars="-23" w:right="-65" w:rightChars="-31"/>
              <w:jc w:val="center"/>
              <w:rPr>
                <w:rFonts w:hint="eastAsia" w:hAnsi="宋体" w:cs="宋体"/>
                <w:b/>
                <w:color w:val="auto"/>
                <w:kern w:val="0"/>
                <w:szCs w:val="21"/>
                <w:highlight w:val="none"/>
              </w:rPr>
            </w:pPr>
            <w:r>
              <w:rPr>
                <w:rFonts w:hint="eastAsia" w:hAnsi="宋体" w:cs="宋体"/>
                <w:b/>
                <w:color w:val="auto"/>
                <w:kern w:val="0"/>
                <w:szCs w:val="21"/>
                <w:highlight w:val="none"/>
              </w:rPr>
              <w:t>小型企业</w:t>
            </w:r>
          </w:p>
        </w:tc>
        <w:tc>
          <w:tcPr>
            <w:tcW w:w="1004" w:type="pct"/>
            <w:gridSpan w:val="3"/>
            <w:tcBorders>
              <w:top w:val="single" w:color="auto" w:sz="4" w:space="0"/>
              <w:left w:val="nil"/>
              <w:bottom w:val="single" w:color="auto" w:sz="4" w:space="0"/>
              <w:right w:val="single" w:color="auto" w:sz="4" w:space="0"/>
            </w:tcBorders>
            <w:noWrap/>
            <w:vAlign w:val="center"/>
          </w:tcPr>
          <w:p w14:paraId="28B540D4">
            <w:pPr>
              <w:spacing w:line="240" w:lineRule="atLeast"/>
              <w:ind w:left="-48" w:leftChars="-23" w:right="-65" w:rightChars="-31"/>
              <w:jc w:val="center"/>
              <w:rPr>
                <w:rFonts w:hint="eastAsia" w:hAnsi="宋体" w:cs="宋体"/>
                <w:b/>
                <w:color w:val="auto"/>
                <w:kern w:val="0"/>
                <w:szCs w:val="21"/>
                <w:highlight w:val="none"/>
              </w:rPr>
            </w:pPr>
            <w:r>
              <w:rPr>
                <w:rFonts w:hint="eastAsia" w:hAnsi="宋体" w:cs="宋体"/>
                <w:b/>
                <w:color w:val="auto"/>
                <w:kern w:val="0"/>
                <w:szCs w:val="21"/>
                <w:highlight w:val="none"/>
              </w:rPr>
              <w:t>微型企业</w:t>
            </w:r>
          </w:p>
        </w:tc>
      </w:tr>
      <w:tr w14:paraId="7645B134">
        <w:tblPrEx>
          <w:tblCellMar>
            <w:top w:w="0" w:type="dxa"/>
            <w:left w:w="108" w:type="dxa"/>
            <w:bottom w:w="0" w:type="dxa"/>
            <w:right w:w="108" w:type="dxa"/>
          </w:tblCellMar>
        </w:tblPrEx>
        <w:trPr>
          <w:trHeight w:val="713" w:hRule="atLeast"/>
          <w:jc w:val="center"/>
        </w:trPr>
        <w:tc>
          <w:tcPr>
            <w:tcW w:w="0" w:type="auto"/>
            <w:vMerge w:val="continue"/>
            <w:tcBorders>
              <w:top w:val="single" w:color="auto" w:sz="4" w:space="0"/>
              <w:left w:val="single" w:color="auto" w:sz="4" w:space="0"/>
              <w:bottom w:val="single" w:color="auto" w:sz="4" w:space="0"/>
              <w:right w:val="single" w:color="auto" w:sz="4" w:space="0"/>
            </w:tcBorders>
            <w:noWrap w:val="0"/>
            <w:vAlign w:val="center"/>
          </w:tcPr>
          <w:p w14:paraId="18A6DA64">
            <w:pPr>
              <w:widowControl/>
              <w:jc w:val="left"/>
              <w:rPr>
                <w:rFonts w:hAnsi="宋体" w:cs="宋体"/>
                <w:b/>
                <w:color w:val="auto"/>
                <w:kern w:val="0"/>
                <w:szCs w:val="21"/>
                <w:highlight w:val="none"/>
              </w:rPr>
            </w:pPr>
          </w:p>
        </w:tc>
        <w:tc>
          <w:tcPr>
            <w:tcW w:w="0" w:type="auto"/>
            <w:vMerge w:val="continue"/>
            <w:tcBorders>
              <w:top w:val="single" w:color="auto" w:sz="4" w:space="0"/>
              <w:left w:val="nil"/>
              <w:bottom w:val="single" w:color="auto" w:sz="4" w:space="0"/>
              <w:right w:val="single" w:color="auto" w:sz="4" w:space="0"/>
            </w:tcBorders>
            <w:noWrap w:val="0"/>
            <w:vAlign w:val="center"/>
          </w:tcPr>
          <w:p w14:paraId="1FDE5A5E">
            <w:pPr>
              <w:widowControl/>
              <w:jc w:val="left"/>
              <w:rPr>
                <w:rFonts w:hAnsi="宋体" w:cs="宋体"/>
                <w:b/>
                <w:color w:val="auto"/>
                <w:kern w:val="0"/>
                <w:szCs w:val="21"/>
                <w:highlight w:val="none"/>
              </w:rPr>
            </w:pPr>
          </w:p>
        </w:tc>
        <w:tc>
          <w:tcPr>
            <w:tcW w:w="405" w:type="pct"/>
            <w:tcBorders>
              <w:top w:val="nil"/>
              <w:left w:val="nil"/>
              <w:bottom w:val="single" w:color="auto" w:sz="4" w:space="0"/>
              <w:right w:val="single" w:color="auto" w:sz="4" w:space="0"/>
            </w:tcBorders>
            <w:noWrap/>
            <w:vAlign w:val="center"/>
          </w:tcPr>
          <w:p w14:paraId="2E53F242">
            <w:pPr>
              <w:spacing w:line="240" w:lineRule="atLeast"/>
              <w:ind w:left="-48" w:leftChars="-23" w:right="-65" w:rightChars="-31"/>
              <w:jc w:val="center"/>
              <w:rPr>
                <w:rFonts w:hint="eastAsia" w:hAnsi="宋体" w:cs="宋体"/>
                <w:b/>
                <w:color w:val="auto"/>
                <w:kern w:val="0"/>
                <w:szCs w:val="21"/>
                <w:highlight w:val="none"/>
              </w:rPr>
            </w:pPr>
            <w:r>
              <w:rPr>
                <w:rFonts w:hint="eastAsia" w:hAnsi="宋体" w:cs="宋体"/>
                <w:b/>
                <w:color w:val="auto"/>
                <w:kern w:val="0"/>
                <w:szCs w:val="21"/>
                <w:highlight w:val="none"/>
              </w:rPr>
              <w:t>营业收入</w:t>
            </w:r>
          </w:p>
          <w:p w14:paraId="4798E738">
            <w:pPr>
              <w:spacing w:line="240" w:lineRule="atLeast"/>
              <w:ind w:left="-48" w:leftChars="-23" w:right="-65" w:rightChars="-31"/>
              <w:jc w:val="center"/>
              <w:rPr>
                <w:rFonts w:hint="eastAsia" w:hAnsi="宋体" w:cs="宋体"/>
                <w:b/>
                <w:color w:val="auto"/>
                <w:kern w:val="0"/>
                <w:szCs w:val="21"/>
                <w:highlight w:val="none"/>
              </w:rPr>
            </w:pPr>
            <w:r>
              <w:rPr>
                <w:rFonts w:hint="eastAsia" w:hAnsi="宋体" w:cs="宋体"/>
                <w:b/>
                <w:color w:val="auto"/>
                <w:kern w:val="0"/>
                <w:szCs w:val="21"/>
                <w:highlight w:val="none"/>
              </w:rPr>
              <w:t>(万元)</w:t>
            </w:r>
          </w:p>
        </w:tc>
        <w:tc>
          <w:tcPr>
            <w:tcW w:w="332" w:type="pct"/>
            <w:tcBorders>
              <w:top w:val="nil"/>
              <w:left w:val="nil"/>
              <w:bottom w:val="single" w:color="auto" w:sz="4" w:space="0"/>
              <w:right w:val="single" w:color="auto" w:sz="4" w:space="0"/>
            </w:tcBorders>
            <w:noWrap/>
            <w:vAlign w:val="center"/>
          </w:tcPr>
          <w:p w14:paraId="59EA0126">
            <w:pPr>
              <w:spacing w:line="240" w:lineRule="atLeast"/>
              <w:ind w:left="-48" w:leftChars="-23" w:right="-65" w:rightChars="-31"/>
              <w:jc w:val="center"/>
              <w:rPr>
                <w:rFonts w:hint="eastAsia" w:hAnsi="宋体" w:cs="宋体"/>
                <w:b/>
                <w:color w:val="auto"/>
                <w:kern w:val="0"/>
                <w:szCs w:val="21"/>
                <w:highlight w:val="none"/>
              </w:rPr>
            </w:pPr>
            <w:r>
              <w:rPr>
                <w:rFonts w:hint="eastAsia" w:hAnsi="宋体" w:cs="宋体"/>
                <w:b/>
                <w:color w:val="auto"/>
                <w:kern w:val="0"/>
                <w:szCs w:val="21"/>
                <w:highlight w:val="none"/>
              </w:rPr>
              <w:t>从业人员</w:t>
            </w:r>
          </w:p>
          <w:p w14:paraId="0BC4FF82">
            <w:pPr>
              <w:spacing w:line="240" w:lineRule="atLeast"/>
              <w:ind w:left="-48" w:leftChars="-23" w:right="-65" w:rightChars="-31"/>
              <w:jc w:val="center"/>
              <w:rPr>
                <w:rFonts w:hint="eastAsia" w:hAnsi="宋体" w:cs="宋体"/>
                <w:b/>
                <w:color w:val="auto"/>
                <w:kern w:val="0"/>
                <w:szCs w:val="21"/>
                <w:highlight w:val="none"/>
              </w:rPr>
            </w:pPr>
            <w:r>
              <w:rPr>
                <w:rFonts w:hint="eastAsia" w:hAnsi="宋体" w:cs="宋体"/>
                <w:b/>
                <w:color w:val="auto"/>
                <w:kern w:val="0"/>
                <w:szCs w:val="21"/>
                <w:highlight w:val="none"/>
              </w:rPr>
              <w:t>(人)</w:t>
            </w:r>
          </w:p>
        </w:tc>
        <w:tc>
          <w:tcPr>
            <w:tcW w:w="316" w:type="pct"/>
            <w:tcBorders>
              <w:top w:val="nil"/>
              <w:left w:val="nil"/>
              <w:bottom w:val="single" w:color="auto" w:sz="4" w:space="0"/>
              <w:right w:val="single" w:color="auto" w:sz="4" w:space="0"/>
            </w:tcBorders>
            <w:noWrap/>
            <w:vAlign w:val="center"/>
          </w:tcPr>
          <w:p w14:paraId="7917E703">
            <w:pPr>
              <w:spacing w:line="240" w:lineRule="atLeast"/>
              <w:ind w:left="-48" w:leftChars="-23" w:right="-65" w:rightChars="-31"/>
              <w:jc w:val="center"/>
              <w:rPr>
                <w:rFonts w:hint="eastAsia" w:hAnsi="宋体" w:cs="宋体"/>
                <w:b/>
                <w:color w:val="auto"/>
                <w:kern w:val="0"/>
                <w:szCs w:val="21"/>
                <w:highlight w:val="none"/>
              </w:rPr>
            </w:pPr>
            <w:r>
              <w:rPr>
                <w:rFonts w:hint="eastAsia" w:hAnsi="宋体" w:cs="宋体"/>
                <w:b/>
                <w:color w:val="auto"/>
                <w:kern w:val="0"/>
                <w:szCs w:val="21"/>
                <w:highlight w:val="none"/>
              </w:rPr>
              <w:t>总资产</w:t>
            </w:r>
          </w:p>
          <w:p w14:paraId="38175521">
            <w:pPr>
              <w:spacing w:line="240" w:lineRule="atLeast"/>
              <w:ind w:left="-48" w:leftChars="-23" w:right="-65" w:rightChars="-31"/>
              <w:jc w:val="center"/>
              <w:rPr>
                <w:rFonts w:hint="eastAsia" w:hAnsi="宋体" w:cs="宋体"/>
                <w:b/>
                <w:color w:val="auto"/>
                <w:kern w:val="0"/>
                <w:szCs w:val="21"/>
                <w:highlight w:val="none"/>
              </w:rPr>
            </w:pPr>
            <w:r>
              <w:rPr>
                <w:rFonts w:hint="eastAsia" w:hAnsi="宋体" w:cs="宋体"/>
                <w:b/>
                <w:color w:val="auto"/>
                <w:kern w:val="0"/>
                <w:szCs w:val="21"/>
                <w:highlight w:val="none"/>
              </w:rPr>
              <w:t>(万元)</w:t>
            </w:r>
          </w:p>
        </w:tc>
        <w:tc>
          <w:tcPr>
            <w:tcW w:w="374" w:type="pct"/>
            <w:tcBorders>
              <w:top w:val="nil"/>
              <w:left w:val="nil"/>
              <w:bottom w:val="single" w:color="auto" w:sz="4" w:space="0"/>
              <w:right w:val="single" w:color="auto" w:sz="4" w:space="0"/>
            </w:tcBorders>
            <w:noWrap/>
            <w:vAlign w:val="center"/>
          </w:tcPr>
          <w:p w14:paraId="0C4FAAFB">
            <w:pPr>
              <w:spacing w:line="240" w:lineRule="atLeast"/>
              <w:ind w:left="-48" w:leftChars="-23" w:right="-65" w:rightChars="-31"/>
              <w:jc w:val="center"/>
              <w:rPr>
                <w:rFonts w:hint="eastAsia" w:hAnsi="宋体" w:cs="宋体"/>
                <w:b/>
                <w:color w:val="auto"/>
                <w:kern w:val="0"/>
                <w:szCs w:val="21"/>
                <w:highlight w:val="none"/>
              </w:rPr>
            </w:pPr>
            <w:r>
              <w:rPr>
                <w:rFonts w:hint="eastAsia" w:hAnsi="宋体" w:cs="宋体"/>
                <w:b/>
                <w:color w:val="auto"/>
                <w:kern w:val="0"/>
                <w:szCs w:val="21"/>
                <w:highlight w:val="none"/>
              </w:rPr>
              <w:t>营业收入</w:t>
            </w:r>
          </w:p>
          <w:p w14:paraId="2341B44A">
            <w:pPr>
              <w:spacing w:line="240" w:lineRule="atLeast"/>
              <w:ind w:left="-48" w:leftChars="-23" w:right="-65" w:rightChars="-31"/>
              <w:jc w:val="center"/>
              <w:rPr>
                <w:rFonts w:hint="eastAsia" w:hAnsi="宋体" w:cs="宋体"/>
                <w:b/>
                <w:color w:val="auto"/>
                <w:kern w:val="0"/>
                <w:szCs w:val="21"/>
                <w:highlight w:val="none"/>
              </w:rPr>
            </w:pPr>
            <w:r>
              <w:rPr>
                <w:rFonts w:hint="eastAsia" w:hAnsi="宋体" w:cs="宋体"/>
                <w:b/>
                <w:color w:val="auto"/>
                <w:kern w:val="0"/>
                <w:szCs w:val="21"/>
                <w:highlight w:val="none"/>
              </w:rPr>
              <w:t>(万元)</w:t>
            </w:r>
          </w:p>
        </w:tc>
        <w:tc>
          <w:tcPr>
            <w:tcW w:w="332" w:type="pct"/>
            <w:tcBorders>
              <w:top w:val="nil"/>
              <w:left w:val="nil"/>
              <w:bottom w:val="single" w:color="auto" w:sz="4" w:space="0"/>
              <w:right w:val="single" w:color="auto" w:sz="4" w:space="0"/>
            </w:tcBorders>
            <w:noWrap/>
            <w:vAlign w:val="center"/>
          </w:tcPr>
          <w:p w14:paraId="2BB8636D">
            <w:pPr>
              <w:spacing w:line="240" w:lineRule="atLeast"/>
              <w:ind w:left="-48" w:leftChars="-23" w:right="-65" w:rightChars="-31"/>
              <w:jc w:val="center"/>
              <w:rPr>
                <w:rFonts w:hint="eastAsia" w:hAnsi="宋体" w:cs="宋体"/>
                <w:b/>
                <w:color w:val="auto"/>
                <w:kern w:val="0"/>
                <w:szCs w:val="21"/>
                <w:highlight w:val="none"/>
              </w:rPr>
            </w:pPr>
            <w:r>
              <w:rPr>
                <w:rFonts w:hint="eastAsia" w:hAnsi="宋体" w:cs="宋体"/>
                <w:b/>
                <w:color w:val="auto"/>
                <w:kern w:val="0"/>
                <w:szCs w:val="21"/>
                <w:highlight w:val="none"/>
              </w:rPr>
              <w:t>从业人员</w:t>
            </w:r>
          </w:p>
          <w:p w14:paraId="48D64F66">
            <w:pPr>
              <w:spacing w:line="240" w:lineRule="atLeast"/>
              <w:ind w:left="-48" w:leftChars="-23" w:right="-65" w:rightChars="-31"/>
              <w:jc w:val="center"/>
              <w:rPr>
                <w:rFonts w:hint="eastAsia" w:hAnsi="宋体" w:cs="宋体"/>
                <w:b/>
                <w:color w:val="auto"/>
                <w:kern w:val="0"/>
                <w:szCs w:val="21"/>
                <w:highlight w:val="none"/>
              </w:rPr>
            </w:pPr>
            <w:r>
              <w:rPr>
                <w:rFonts w:hint="eastAsia" w:hAnsi="宋体" w:cs="宋体"/>
                <w:b/>
                <w:color w:val="auto"/>
                <w:kern w:val="0"/>
                <w:szCs w:val="21"/>
                <w:highlight w:val="none"/>
              </w:rPr>
              <w:t>(人)</w:t>
            </w:r>
          </w:p>
        </w:tc>
        <w:tc>
          <w:tcPr>
            <w:tcW w:w="336" w:type="pct"/>
            <w:tcBorders>
              <w:top w:val="nil"/>
              <w:left w:val="nil"/>
              <w:bottom w:val="single" w:color="auto" w:sz="4" w:space="0"/>
              <w:right w:val="single" w:color="auto" w:sz="4" w:space="0"/>
            </w:tcBorders>
            <w:noWrap/>
            <w:vAlign w:val="center"/>
          </w:tcPr>
          <w:p w14:paraId="17A9B12C">
            <w:pPr>
              <w:spacing w:line="240" w:lineRule="atLeast"/>
              <w:ind w:left="-48" w:leftChars="-23" w:right="-65" w:rightChars="-31"/>
              <w:jc w:val="center"/>
              <w:rPr>
                <w:rFonts w:hint="eastAsia" w:hAnsi="宋体" w:cs="宋体"/>
                <w:b/>
                <w:color w:val="auto"/>
                <w:kern w:val="0"/>
                <w:szCs w:val="21"/>
                <w:highlight w:val="none"/>
              </w:rPr>
            </w:pPr>
            <w:r>
              <w:rPr>
                <w:rFonts w:hint="eastAsia" w:hAnsi="宋体" w:cs="宋体"/>
                <w:b/>
                <w:color w:val="auto"/>
                <w:kern w:val="0"/>
                <w:szCs w:val="21"/>
                <w:highlight w:val="none"/>
              </w:rPr>
              <w:t>总资产</w:t>
            </w:r>
          </w:p>
          <w:p w14:paraId="6FE7DD3C">
            <w:pPr>
              <w:spacing w:line="240" w:lineRule="atLeast"/>
              <w:ind w:left="-48" w:leftChars="-23" w:right="-65" w:rightChars="-31"/>
              <w:jc w:val="center"/>
              <w:rPr>
                <w:rFonts w:hint="eastAsia" w:hAnsi="宋体" w:cs="宋体"/>
                <w:b/>
                <w:color w:val="auto"/>
                <w:kern w:val="0"/>
                <w:szCs w:val="21"/>
                <w:highlight w:val="none"/>
              </w:rPr>
            </w:pPr>
            <w:r>
              <w:rPr>
                <w:rFonts w:hint="eastAsia" w:hAnsi="宋体" w:cs="宋体"/>
                <w:b/>
                <w:color w:val="auto"/>
                <w:kern w:val="0"/>
                <w:szCs w:val="21"/>
                <w:highlight w:val="none"/>
              </w:rPr>
              <w:t>(万元)</w:t>
            </w:r>
          </w:p>
        </w:tc>
        <w:tc>
          <w:tcPr>
            <w:tcW w:w="374" w:type="pct"/>
            <w:tcBorders>
              <w:top w:val="nil"/>
              <w:left w:val="nil"/>
              <w:bottom w:val="single" w:color="auto" w:sz="4" w:space="0"/>
              <w:right w:val="single" w:color="auto" w:sz="4" w:space="0"/>
            </w:tcBorders>
            <w:noWrap/>
            <w:vAlign w:val="center"/>
          </w:tcPr>
          <w:p w14:paraId="579148CB">
            <w:pPr>
              <w:spacing w:line="240" w:lineRule="atLeast"/>
              <w:ind w:left="-48" w:leftChars="-23" w:right="-65" w:rightChars="-31"/>
              <w:jc w:val="center"/>
              <w:rPr>
                <w:rFonts w:hint="eastAsia" w:hAnsi="宋体" w:cs="宋体"/>
                <w:b/>
                <w:color w:val="auto"/>
                <w:kern w:val="0"/>
                <w:szCs w:val="21"/>
                <w:highlight w:val="none"/>
              </w:rPr>
            </w:pPr>
            <w:r>
              <w:rPr>
                <w:rFonts w:hint="eastAsia" w:hAnsi="宋体" w:cs="宋体"/>
                <w:b/>
                <w:color w:val="auto"/>
                <w:kern w:val="0"/>
                <w:szCs w:val="21"/>
                <w:highlight w:val="none"/>
              </w:rPr>
              <w:t>营业收入</w:t>
            </w:r>
          </w:p>
          <w:p w14:paraId="68F9FA02">
            <w:pPr>
              <w:spacing w:line="240" w:lineRule="atLeast"/>
              <w:ind w:left="-48" w:leftChars="-23" w:right="-65" w:rightChars="-31"/>
              <w:jc w:val="center"/>
              <w:rPr>
                <w:rFonts w:hint="eastAsia" w:hAnsi="宋体" w:cs="宋体"/>
                <w:b/>
                <w:color w:val="auto"/>
                <w:kern w:val="0"/>
                <w:szCs w:val="21"/>
                <w:highlight w:val="none"/>
              </w:rPr>
            </w:pPr>
            <w:r>
              <w:rPr>
                <w:rFonts w:hint="eastAsia" w:hAnsi="宋体" w:cs="宋体"/>
                <w:b/>
                <w:color w:val="auto"/>
                <w:kern w:val="0"/>
                <w:szCs w:val="21"/>
                <w:highlight w:val="none"/>
              </w:rPr>
              <w:t>(万元)</w:t>
            </w:r>
          </w:p>
        </w:tc>
        <w:tc>
          <w:tcPr>
            <w:tcW w:w="332" w:type="pct"/>
            <w:tcBorders>
              <w:top w:val="nil"/>
              <w:left w:val="nil"/>
              <w:bottom w:val="single" w:color="auto" w:sz="4" w:space="0"/>
              <w:right w:val="single" w:color="auto" w:sz="4" w:space="0"/>
            </w:tcBorders>
            <w:noWrap/>
            <w:vAlign w:val="center"/>
          </w:tcPr>
          <w:p w14:paraId="7055489D">
            <w:pPr>
              <w:spacing w:line="240" w:lineRule="atLeast"/>
              <w:ind w:left="119" w:leftChars="-23" w:right="-65" w:rightChars="-31" w:hanging="167" w:hangingChars="79"/>
              <w:jc w:val="center"/>
              <w:rPr>
                <w:rFonts w:hint="eastAsia" w:hAnsi="宋体" w:cs="宋体"/>
                <w:b/>
                <w:color w:val="auto"/>
                <w:kern w:val="0"/>
                <w:szCs w:val="21"/>
                <w:highlight w:val="none"/>
              </w:rPr>
            </w:pPr>
            <w:r>
              <w:rPr>
                <w:rFonts w:hint="eastAsia" w:hAnsi="宋体" w:cs="宋体"/>
                <w:b/>
                <w:color w:val="auto"/>
                <w:kern w:val="0"/>
                <w:szCs w:val="21"/>
                <w:highlight w:val="none"/>
              </w:rPr>
              <w:t>从业人员</w:t>
            </w:r>
          </w:p>
          <w:p w14:paraId="5723FCD1">
            <w:pPr>
              <w:spacing w:line="240" w:lineRule="atLeast"/>
              <w:ind w:left="-48" w:leftChars="-23" w:right="-65" w:rightChars="-31"/>
              <w:jc w:val="center"/>
              <w:rPr>
                <w:rFonts w:hint="eastAsia" w:hAnsi="宋体" w:cs="宋体"/>
                <w:b/>
                <w:color w:val="auto"/>
                <w:kern w:val="0"/>
                <w:szCs w:val="21"/>
                <w:highlight w:val="none"/>
              </w:rPr>
            </w:pPr>
            <w:r>
              <w:rPr>
                <w:rFonts w:hint="eastAsia" w:hAnsi="宋体" w:cs="宋体"/>
                <w:b/>
                <w:color w:val="auto"/>
                <w:kern w:val="0"/>
                <w:szCs w:val="21"/>
                <w:highlight w:val="none"/>
              </w:rPr>
              <w:t>(人)</w:t>
            </w:r>
          </w:p>
        </w:tc>
        <w:tc>
          <w:tcPr>
            <w:tcW w:w="338" w:type="pct"/>
            <w:tcBorders>
              <w:top w:val="nil"/>
              <w:left w:val="nil"/>
              <w:bottom w:val="single" w:color="auto" w:sz="4" w:space="0"/>
              <w:right w:val="single" w:color="auto" w:sz="4" w:space="0"/>
            </w:tcBorders>
            <w:noWrap/>
            <w:vAlign w:val="center"/>
          </w:tcPr>
          <w:p w14:paraId="4BBACA4F">
            <w:pPr>
              <w:spacing w:line="240" w:lineRule="atLeast"/>
              <w:ind w:left="-48" w:leftChars="-23" w:right="-65" w:rightChars="-31"/>
              <w:jc w:val="center"/>
              <w:rPr>
                <w:rFonts w:hint="eastAsia" w:hAnsi="宋体" w:cs="宋体"/>
                <w:b/>
                <w:color w:val="auto"/>
                <w:kern w:val="0"/>
                <w:szCs w:val="21"/>
                <w:highlight w:val="none"/>
              </w:rPr>
            </w:pPr>
            <w:r>
              <w:rPr>
                <w:rFonts w:hint="eastAsia" w:hAnsi="宋体" w:cs="宋体"/>
                <w:b/>
                <w:color w:val="auto"/>
                <w:kern w:val="0"/>
                <w:szCs w:val="21"/>
                <w:highlight w:val="none"/>
              </w:rPr>
              <w:t>总资产</w:t>
            </w:r>
          </w:p>
          <w:p w14:paraId="58A48836">
            <w:pPr>
              <w:spacing w:line="240" w:lineRule="atLeast"/>
              <w:ind w:left="-48" w:leftChars="-23" w:right="-65" w:rightChars="-31"/>
              <w:jc w:val="center"/>
              <w:rPr>
                <w:rFonts w:hint="eastAsia" w:hAnsi="宋体" w:cs="宋体"/>
                <w:b/>
                <w:color w:val="auto"/>
                <w:kern w:val="0"/>
                <w:szCs w:val="21"/>
                <w:highlight w:val="none"/>
              </w:rPr>
            </w:pPr>
            <w:r>
              <w:rPr>
                <w:rFonts w:hint="eastAsia" w:hAnsi="宋体" w:cs="宋体"/>
                <w:b/>
                <w:color w:val="auto"/>
                <w:kern w:val="0"/>
                <w:szCs w:val="21"/>
                <w:highlight w:val="none"/>
              </w:rPr>
              <w:t>(万元)</w:t>
            </w:r>
          </w:p>
        </w:tc>
        <w:tc>
          <w:tcPr>
            <w:tcW w:w="374" w:type="pct"/>
            <w:tcBorders>
              <w:top w:val="nil"/>
              <w:left w:val="nil"/>
              <w:bottom w:val="single" w:color="auto" w:sz="4" w:space="0"/>
              <w:right w:val="single" w:color="auto" w:sz="4" w:space="0"/>
            </w:tcBorders>
            <w:noWrap/>
            <w:vAlign w:val="center"/>
          </w:tcPr>
          <w:p w14:paraId="272DA2DD">
            <w:pPr>
              <w:spacing w:line="240" w:lineRule="atLeast"/>
              <w:ind w:left="-48" w:leftChars="-23" w:right="-65" w:rightChars="-31"/>
              <w:jc w:val="center"/>
              <w:rPr>
                <w:rFonts w:hint="eastAsia" w:hAnsi="宋体" w:cs="宋体"/>
                <w:b/>
                <w:color w:val="auto"/>
                <w:kern w:val="0"/>
                <w:szCs w:val="21"/>
                <w:highlight w:val="none"/>
              </w:rPr>
            </w:pPr>
            <w:r>
              <w:rPr>
                <w:rFonts w:hint="eastAsia" w:hAnsi="宋体" w:cs="宋体"/>
                <w:b/>
                <w:color w:val="auto"/>
                <w:kern w:val="0"/>
                <w:szCs w:val="21"/>
                <w:highlight w:val="none"/>
              </w:rPr>
              <w:t>营业收入</w:t>
            </w:r>
          </w:p>
          <w:p w14:paraId="5CF41F16">
            <w:pPr>
              <w:spacing w:line="240" w:lineRule="atLeast"/>
              <w:ind w:left="-48" w:leftChars="-23" w:right="-65" w:rightChars="-31"/>
              <w:jc w:val="center"/>
              <w:rPr>
                <w:rFonts w:hint="eastAsia" w:hAnsi="宋体" w:cs="宋体"/>
                <w:b/>
                <w:color w:val="auto"/>
                <w:kern w:val="0"/>
                <w:szCs w:val="21"/>
                <w:highlight w:val="none"/>
              </w:rPr>
            </w:pPr>
            <w:r>
              <w:rPr>
                <w:rFonts w:hint="eastAsia" w:hAnsi="宋体" w:cs="宋体"/>
                <w:b/>
                <w:color w:val="auto"/>
                <w:kern w:val="0"/>
                <w:szCs w:val="21"/>
                <w:highlight w:val="none"/>
              </w:rPr>
              <w:t>(万元)</w:t>
            </w:r>
          </w:p>
        </w:tc>
        <w:tc>
          <w:tcPr>
            <w:tcW w:w="332" w:type="pct"/>
            <w:tcBorders>
              <w:top w:val="nil"/>
              <w:left w:val="nil"/>
              <w:bottom w:val="single" w:color="auto" w:sz="4" w:space="0"/>
              <w:right w:val="single" w:color="auto" w:sz="4" w:space="0"/>
            </w:tcBorders>
            <w:noWrap/>
            <w:vAlign w:val="center"/>
          </w:tcPr>
          <w:p w14:paraId="16D8E22E">
            <w:pPr>
              <w:spacing w:line="240" w:lineRule="atLeast"/>
              <w:ind w:left="-48" w:leftChars="-23" w:right="-65" w:rightChars="-31"/>
              <w:jc w:val="center"/>
              <w:rPr>
                <w:rFonts w:hint="eastAsia" w:hAnsi="宋体" w:cs="宋体"/>
                <w:b/>
                <w:color w:val="auto"/>
                <w:kern w:val="0"/>
                <w:szCs w:val="21"/>
                <w:highlight w:val="none"/>
              </w:rPr>
            </w:pPr>
            <w:r>
              <w:rPr>
                <w:rFonts w:hint="eastAsia" w:hAnsi="宋体" w:cs="宋体"/>
                <w:b/>
                <w:color w:val="auto"/>
                <w:kern w:val="0"/>
                <w:szCs w:val="21"/>
                <w:highlight w:val="none"/>
              </w:rPr>
              <w:t>从业人员</w:t>
            </w:r>
          </w:p>
          <w:p w14:paraId="58FB5257">
            <w:pPr>
              <w:spacing w:line="240" w:lineRule="atLeast"/>
              <w:ind w:left="-48" w:leftChars="-23" w:right="-65" w:rightChars="-31"/>
              <w:jc w:val="center"/>
              <w:rPr>
                <w:rFonts w:hint="eastAsia" w:hAnsi="宋体" w:cs="宋体"/>
                <w:b/>
                <w:color w:val="auto"/>
                <w:kern w:val="0"/>
                <w:szCs w:val="21"/>
                <w:highlight w:val="none"/>
              </w:rPr>
            </w:pPr>
            <w:r>
              <w:rPr>
                <w:rFonts w:hint="eastAsia" w:hAnsi="宋体" w:cs="宋体"/>
                <w:b/>
                <w:color w:val="auto"/>
                <w:kern w:val="0"/>
                <w:szCs w:val="21"/>
                <w:highlight w:val="none"/>
              </w:rPr>
              <w:t>(人)</w:t>
            </w:r>
          </w:p>
        </w:tc>
        <w:tc>
          <w:tcPr>
            <w:tcW w:w="296" w:type="pct"/>
            <w:tcBorders>
              <w:top w:val="nil"/>
              <w:left w:val="nil"/>
              <w:bottom w:val="single" w:color="auto" w:sz="4" w:space="0"/>
              <w:right w:val="single" w:color="auto" w:sz="4" w:space="0"/>
            </w:tcBorders>
            <w:noWrap/>
            <w:vAlign w:val="center"/>
          </w:tcPr>
          <w:p w14:paraId="66D0F8D6">
            <w:pPr>
              <w:spacing w:line="240" w:lineRule="atLeast"/>
              <w:ind w:left="-48" w:leftChars="-23" w:right="-65" w:rightChars="-31"/>
              <w:jc w:val="center"/>
              <w:rPr>
                <w:rFonts w:hint="eastAsia" w:hAnsi="宋体" w:cs="宋体"/>
                <w:b/>
                <w:color w:val="auto"/>
                <w:kern w:val="0"/>
                <w:szCs w:val="21"/>
                <w:highlight w:val="none"/>
              </w:rPr>
            </w:pPr>
            <w:r>
              <w:rPr>
                <w:rFonts w:hint="eastAsia" w:hAnsi="宋体" w:cs="宋体"/>
                <w:b/>
                <w:color w:val="auto"/>
                <w:kern w:val="0"/>
                <w:szCs w:val="21"/>
                <w:highlight w:val="none"/>
              </w:rPr>
              <w:t>总资产</w:t>
            </w:r>
          </w:p>
          <w:p w14:paraId="3898CA48">
            <w:pPr>
              <w:spacing w:line="240" w:lineRule="atLeast"/>
              <w:ind w:left="-48" w:leftChars="-23" w:right="-65" w:rightChars="-31"/>
              <w:jc w:val="center"/>
              <w:rPr>
                <w:rFonts w:hint="eastAsia" w:hAnsi="宋体" w:cs="宋体"/>
                <w:b/>
                <w:color w:val="auto"/>
                <w:kern w:val="0"/>
                <w:szCs w:val="21"/>
                <w:highlight w:val="none"/>
              </w:rPr>
            </w:pPr>
            <w:r>
              <w:rPr>
                <w:rFonts w:hint="eastAsia" w:hAnsi="宋体" w:cs="宋体"/>
                <w:b/>
                <w:color w:val="auto"/>
                <w:kern w:val="0"/>
                <w:szCs w:val="21"/>
                <w:highlight w:val="none"/>
              </w:rPr>
              <w:t>(万元)</w:t>
            </w:r>
          </w:p>
        </w:tc>
      </w:tr>
      <w:tr w14:paraId="58D56A68">
        <w:tblPrEx>
          <w:tblCellMar>
            <w:top w:w="0" w:type="dxa"/>
            <w:left w:w="108" w:type="dxa"/>
            <w:bottom w:w="0" w:type="dxa"/>
            <w:right w:w="108" w:type="dxa"/>
          </w:tblCellMar>
        </w:tblPrEx>
        <w:trPr>
          <w:trHeight w:val="363" w:hRule="atLeast"/>
          <w:jc w:val="center"/>
        </w:trPr>
        <w:tc>
          <w:tcPr>
            <w:tcW w:w="183" w:type="pct"/>
            <w:tcBorders>
              <w:top w:val="single" w:color="auto" w:sz="4" w:space="0"/>
              <w:left w:val="single" w:color="auto" w:sz="4" w:space="0"/>
              <w:bottom w:val="single" w:color="auto" w:sz="4" w:space="0"/>
              <w:right w:val="single" w:color="auto" w:sz="4" w:space="0"/>
            </w:tcBorders>
            <w:noWrap/>
            <w:vAlign w:val="center"/>
          </w:tcPr>
          <w:p w14:paraId="45D6EBE3">
            <w:pPr>
              <w:spacing w:line="240" w:lineRule="atLeast"/>
              <w:ind w:left="-107" w:leftChars="-51" w:right="-107" w:rightChars="-51"/>
              <w:jc w:val="center"/>
              <w:rPr>
                <w:rFonts w:hint="eastAsia" w:hAnsi="宋体" w:cs="宋体"/>
                <w:b/>
                <w:color w:val="auto"/>
                <w:kern w:val="0"/>
                <w:szCs w:val="21"/>
                <w:highlight w:val="none"/>
              </w:rPr>
            </w:pPr>
            <w:r>
              <w:rPr>
                <w:rFonts w:hint="eastAsia" w:hAnsi="宋体" w:cs="宋体"/>
                <w:b/>
                <w:color w:val="auto"/>
                <w:kern w:val="0"/>
                <w:szCs w:val="21"/>
                <w:highlight w:val="none"/>
              </w:rPr>
              <w:t>1</w:t>
            </w:r>
          </w:p>
        </w:tc>
        <w:tc>
          <w:tcPr>
            <w:tcW w:w="666" w:type="pct"/>
            <w:tcBorders>
              <w:top w:val="single" w:color="auto" w:sz="4" w:space="0"/>
              <w:left w:val="nil"/>
              <w:bottom w:val="single" w:color="auto" w:sz="4" w:space="0"/>
              <w:right w:val="single" w:color="auto" w:sz="4" w:space="0"/>
            </w:tcBorders>
            <w:noWrap w:val="0"/>
            <w:vAlign w:val="center"/>
          </w:tcPr>
          <w:p w14:paraId="41F8AFB2">
            <w:pPr>
              <w:spacing w:line="240" w:lineRule="atLeast"/>
              <w:ind w:left="-27" w:leftChars="-13" w:right="-65" w:rightChars="-31"/>
              <w:jc w:val="left"/>
              <w:rPr>
                <w:rFonts w:hint="eastAsia" w:hAnsi="宋体" w:cs="宋体"/>
                <w:b/>
                <w:color w:val="auto"/>
                <w:kern w:val="0"/>
                <w:szCs w:val="21"/>
                <w:highlight w:val="none"/>
              </w:rPr>
            </w:pPr>
            <w:r>
              <w:rPr>
                <w:rFonts w:hint="eastAsia" w:hAnsi="宋体" w:cs="宋体"/>
                <w:b/>
                <w:color w:val="auto"/>
                <w:kern w:val="0"/>
                <w:szCs w:val="21"/>
                <w:highlight w:val="none"/>
              </w:rPr>
              <w:t>农、林、牧、渔业</w:t>
            </w:r>
          </w:p>
        </w:tc>
        <w:tc>
          <w:tcPr>
            <w:tcW w:w="405" w:type="pct"/>
            <w:tcBorders>
              <w:top w:val="single" w:color="auto" w:sz="4" w:space="0"/>
              <w:left w:val="nil"/>
              <w:bottom w:val="single" w:color="auto" w:sz="4" w:space="0"/>
              <w:right w:val="single" w:color="auto" w:sz="4" w:space="0"/>
            </w:tcBorders>
            <w:noWrap/>
            <w:vAlign w:val="center"/>
          </w:tcPr>
          <w:p w14:paraId="7F97D3FB">
            <w:pPr>
              <w:widowControl/>
              <w:spacing w:line="240" w:lineRule="atLeast"/>
              <w:ind w:left="-107" w:leftChars="-51" w:right="-107" w:rightChars="-51"/>
              <w:jc w:val="center"/>
              <w:rPr>
                <w:rFonts w:hint="eastAsia" w:hAnsi="宋体" w:cs="宋体"/>
                <w:color w:val="auto"/>
                <w:kern w:val="0"/>
                <w:szCs w:val="21"/>
                <w:highlight w:val="none"/>
              </w:rPr>
            </w:pPr>
            <w:r>
              <w:rPr>
                <w:rFonts w:hint="eastAsia" w:hAnsi="宋体" w:cs="宋体"/>
                <w:color w:val="auto"/>
                <w:kern w:val="0"/>
                <w:szCs w:val="21"/>
                <w:highlight w:val="none"/>
              </w:rPr>
              <w:t>≥20000</w:t>
            </w:r>
          </w:p>
        </w:tc>
        <w:tc>
          <w:tcPr>
            <w:tcW w:w="332" w:type="pct"/>
            <w:tcBorders>
              <w:top w:val="nil"/>
              <w:left w:val="nil"/>
              <w:bottom w:val="single" w:color="auto" w:sz="4" w:space="0"/>
              <w:right w:val="single" w:color="auto" w:sz="4" w:space="0"/>
            </w:tcBorders>
            <w:noWrap/>
            <w:vAlign w:val="center"/>
          </w:tcPr>
          <w:p w14:paraId="154833CD">
            <w:pPr>
              <w:widowControl/>
              <w:spacing w:line="240" w:lineRule="atLeast"/>
              <w:ind w:left="-107" w:leftChars="-51" w:right="-107" w:rightChars="-51"/>
              <w:jc w:val="center"/>
              <w:rPr>
                <w:rFonts w:hint="eastAsia" w:hAnsi="宋体" w:cs="宋体"/>
                <w:color w:val="auto"/>
                <w:kern w:val="0"/>
                <w:szCs w:val="21"/>
                <w:highlight w:val="none"/>
              </w:rPr>
            </w:pPr>
            <w:r>
              <w:rPr>
                <w:rFonts w:hint="eastAsia" w:hAnsi="宋体" w:cs="宋体"/>
                <w:color w:val="auto"/>
                <w:kern w:val="0"/>
                <w:szCs w:val="21"/>
                <w:highlight w:val="none"/>
              </w:rPr>
              <w:t>　</w:t>
            </w:r>
          </w:p>
        </w:tc>
        <w:tc>
          <w:tcPr>
            <w:tcW w:w="316" w:type="pct"/>
            <w:tcBorders>
              <w:top w:val="nil"/>
              <w:left w:val="nil"/>
              <w:bottom w:val="single" w:color="auto" w:sz="4" w:space="0"/>
              <w:right w:val="single" w:color="auto" w:sz="4" w:space="0"/>
            </w:tcBorders>
            <w:noWrap/>
            <w:vAlign w:val="center"/>
          </w:tcPr>
          <w:p w14:paraId="3A2DB010">
            <w:pPr>
              <w:widowControl/>
              <w:spacing w:line="240" w:lineRule="atLeast"/>
              <w:ind w:left="-107" w:leftChars="-51" w:right="-107" w:rightChars="-51"/>
              <w:jc w:val="center"/>
              <w:rPr>
                <w:rFonts w:hint="eastAsia" w:hAnsi="宋体" w:cs="宋体"/>
                <w:color w:val="auto"/>
                <w:kern w:val="0"/>
                <w:szCs w:val="21"/>
                <w:highlight w:val="none"/>
              </w:rPr>
            </w:pPr>
            <w:r>
              <w:rPr>
                <w:rFonts w:hint="eastAsia" w:hAnsi="宋体" w:cs="宋体"/>
                <w:color w:val="auto"/>
                <w:kern w:val="0"/>
                <w:szCs w:val="21"/>
                <w:highlight w:val="none"/>
              </w:rPr>
              <w:t>　</w:t>
            </w:r>
          </w:p>
        </w:tc>
        <w:tc>
          <w:tcPr>
            <w:tcW w:w="374" w:type="pct"/>
            <w:tcBorders>
              <w:top w:val="nil"/>
              <w:left w:val="nil"/>
              <w:bottom w:val="single" w:color="auto" w:sz="4" w:space="0"/>
              <w:right w:val="single" w:color="auto" w:sz="4" w:space="0"/>
            </w:tcBorders>
            <w:noWrap/>
            <w:vAlign w:val="center"/>
          </w:tcPr>
          <w:p w14:paraId="0353475C">
            <w:pPr>
              <w:widowControl/>
              <w:spacing w:line="240" w:lineRule="atLeast"/>
              <w:ind w:left="-107" w:leftChars="-51" w:right="-107" w:rightChars="-51"/>
              <w:jc w:val="center"/>
              <w:rPr>
                <w:rFonts w:hint="eastAsia" w:hAnsi="宋体" w:cs="宋体"/>
                <w:color w:val="auto"/>
                <w:kern w:val="0"/>
                <w:szCs w:val="21"/>
                <w:highlight w:val="none"/>
              </w:rPr>
            </w:pPr>
            <w:r>
              <w:rPr>
                <w:rFonts w:hint="eastAsia" w:hAnsi="宋体" w:cs="宋体"/>
                <w:color w:val="auto"/>
                <w:kern w:val="0"/>
                <w:szCs w:val="21"/>
                <w:highlight w:val="none"/>
              </w:rPr>
              <w:t>≥500</w:t>
            </w:r>
          </w:p>
        </w:tc>
        <w:tc>
          <w:tcPr>
            <w:tcW w:w="332" w:type="pct"/>
            <w:tcBorders>
              <w:top w:val="nil"/>
              <w:left w:val="nil"/>
              <w:bottom w:val="single" w:color="auto" w:sz="4" w:space="0"/>
              <w:right w:val="single" w:color="auto" w:sz="4" w:space="0"/>
            </w:tcBorders>
            <w:noWrap/>
            <w:vAlign w:val="center"/>
          </w:tcPr>
          <w:p w14:paraId="2700CF6F">
            <w:pPr>
              <w:widowControl/>
              <w:spacing w:line="240" w:lineRule="atLeast"/>
              <w:ind w:left="-107" w:leftChars="-51" w:right="-107" w:rightChars="-51"/>
              <w:jc w:val="center"/>
              <w:rPr>
                <w:rFonts w:hint="eastAsia" w:hAnsi="宋体" w:cs="宋体"/>
                <w:color w:val="auto"/>
                <w:kern w:val="0"/>
                <w:szCs w:val="21"/>
                <w:highlight w:val="none"/>
              </w:rPr>
            </w:pPr>
            <w:r>
              <w:rPr>
                <w:rFonts w:hint="eastAsia" w:hAnsi="宋体" w:cs="宋体"/>
                <w:color w:val="auto"/>
                <w:kern w:val="0"/>
                <w:szCs w:val="21"/>
                <w:highlight w:val="none"/>
              </w:rPr>
              <w:t>　</w:t>
            </w:r>
          </w:p>
        </w:tc>
        <w:tc>
          <w:tcPr>
            <w:tcW w:w="336" w:type="pct"/>
            <w:tcBorders>
              <w:top w:val="nil"/>
              <w:left w:val="nil"/>
              <w:bottom w:val="single" w:color="auto" w:sz="4" w:space="0"/>
              <w:right w:val="single" w:color="auto" w:sz="4" w:space="0"/>
            </w:tcBorders>
            <w:noWrap/>
            <w:vAlign w:val="center"/>
          </w:tcPr>
          <w:p w14:paraId="23D34708">
            <w:pPr>
              <w:widowControl/>
              <w:spacing w:line="240" w:lineRule="atLeast"/>
              <w:jc w:val="center"/>
              <w:rPr>
                <w:rFonts w:hint="eastAsia" w:hAnsi="宋体" w:cs="宋体"/>
                <w:color w:val="auto"/>
                <w:kern w:val="0"/>
                <w:szCs w:val="21"/>
                <w:highlight w:val="none"/>
              </w:rPr>
            </w:pPr>
            <w:r>
              <w:rPr>
                <w:rFonts w:hint="eastAsia" w:hAnsi="宋体" w:cs="宋体"/>
                <w:color w:val="auto"/>
                <w:kern w:val="0"/>
                <w:szCs w:val="21"/>
                <w:highlight w:val="none"/>
              </w:rPr>
              <w:t>　</w:t>
            </w:r>
          </w:p>
        </w:tc>
        <w:tc>
          <w:tcPr>
            <w:tcW w:w="374" w:type="pct"/>
            <w:tcBorders>
              <w:top w:val="nil"/>
              <w:left w:val="nil"/>
              <w:bottom w:val="single" w:color="auto" w:sz="4" w:space="0"/>
              <w:right w:val="single" w:color="auto" w:sz="4" w:space="0"/>
            </w:tcBorders>
            <w:noWrap/>
            <w:vAlign w:val="center"/>
          </w:tcPr>
          <w:p w14:paraId="4B256290">
            <w:pPr>
              <w:widowControl/>
              <w:spacing w:line="240" w:lineRule="atLeast"/>
              <w:jc w:val="center"/>
              <w:rPr>
                <w:rFonts w:hint="eastAsia" w:hAnsi="宋体" w:cs="宋体"/>
                <w:color w:val="auto"/>
                <w:kern w:val="0"/>
                <w:szCs w:val="21"/>
                <w:highlight w:val="none"/>
              </w:rPr>
            </w:pPr>
            <w:r>
              <w:rPr>
                <w:rFonts w:hint="eastAsia" w:hAnsi="宋体" w:cs="宋体"/>
                <w:color w:val="auto"/>
                <w:kern w:val="0"/>
                <w:szCs w:val="21"/>
                <w:highlight w:val="none"/>
              </w:rPr>
              <w:t>≥50</w:t>
            </w:r>
          </w:p>
        </w:tc>
        <w:tc>
          <w:tcPr>
            <w:tcW w:w="332" w:type="pct"/>
            <w:tcBorders>
              <w:top w:val="nil"/>
              <w:left w:val="nil"/>
              <w:bottom w:val="single" w:color="auto" w:sz="4" w:space="0"/>
              <w:right w:val="single" w:color="auto" w:sz="4" w:space="0"/>
            </w:tcBorders>
            <w:noWrap/>
            <w:vAlign w:val="center"/>
          </w:tcPr>
          <w:p w14:paraId="5BE381DE">
            <w:pPr>
              <w:widowControl/>
              <w:spacing w:line="240" w:lineRule="atLeast"/>
              <w:jc w:val="center"/>
              <w:rPr>
                <w:rFonts w:hint="eastAsia" w:hAnsi="宋体" w:cs="宋体"/>
                <w:color w:val="auto"/>
                <w:kern w:val="0"/>
                <w:szCs w:val="21"/>
                <w:highlight w:val="none"/>
              </w:rPr>
            </w:pPr>
            <w:r>
              <w:rPr>
                <w:rFonts w:hint="eastAsia" w:hAnsi="宋体" w:cs="宋体"/>
                <w:color w:val="auto"/>
                <w:kern w:val="0"/>
                <w:szCs w:val="21"/>
                <w:highlight w:val="none"/>
              </w:rPr>
              <w:t>　</w:t>
            </w:r>
          </w:p>
        </w:tc>
        <w:tc>
          <w:tcPr>
            <w:tcW w:w="338" w:type="pct"/>
            <w:tcBorders>
              <w:top w:val="nil"/>
              <w:left w:val="nil"/>
              <w:bottom w:val="single" w:color="auto" w:sz="4" w:space="0"/>
              <w:right w:val="single" w:color="auto" w:sz="4" w:space="0"/>
            </w:tcBorders>
            <w:noWrap/>
            <w:vAlign w:val="center"/>
          </w:tcPr>
          <w:p w14:paraId="5BAB131C">
            <w:pPr>
              <w:widowControl/>
              <w:spacing w:line="240" w:lineRule="atLeast"/>
              <w:jc w:val="center"/>
              <w:rPr>
                <w:rFonts w:hint="eastAsia" w:hAnsi="宋体" w:cs="宋体"/>
                <w:color w:val="auto"/>
                <w:kern w:val="0"/>
                <w:szCs w:val="21"/>
                <w:highlight w:val="none"/>
              </w:rPr>
            </w:pPr>
            <w:r>
              <w:rPr>
                <w:rFonts w:hint="eastAsia" w:hAnsi="宋体" w:cs="宋体"/>
                <w:color w:val="auto"/>
                <w:kern w:val="0"/>
                <w:szCs w:val="21"/>
                <w:highlight w:val="none"/>
              </w:rPr>
              <w:t>　</w:t>
            </w:r>
          </w:p>
        </w:tc>
        <w:tc>
          <w:tcPr>
            <w:tcW w:w="374" w:type="pct"/>
            <w:tcBorders>
              <w:top w:val="nil"/>
              <w:left w:val="nil"/>
              <w:bottom w:val="single" w:color="auto" w:sz="4" w:space="0"/>
              <w:right w:val="single" w:color="auto" w:sz="4" w:space="0"/>
            </w:tcBorders>
            <w:noWrap/>
            <w:vAlign w:val="center"/>
          </w:tcPr>
          <w:p w14:paraId="426834AB">
            <w:pPr>
              <w:widowControl/>
              <w:spacing w:line="240" w:lineRule="atLeast"/>
              <w:jc w:val="center"/>
              <w:rPr>
                <w:rFonts w:hint="eastAsia" w:hAnsi="宋体" w:cs="宋体"/>
                <w:color w:val="auto"/>
                <w:kern w:val="0"/>
                <w:szCs w:val="21"/>
                <w:highlight w:val="none"/>
              </w:rPr>
            </w:pPr>
            <w:r>
              <w:rPr>
                <w:rFonts w:hint="eastAsia" w:hAnsi="宋体" w:cs="宋体"/>
                <w:color w:val="auto"/>
                <w:kern w:val="0"/>
                <w:szCs w:val="21"/>
                <w:highlight w:val="none"/>
              </w:rPr>
              <w:t>＜50</w:t>
            </w:r>
          </w:p>
        </w:tc>
        <w:tc>
          <w:tcPr>
            <w:tcW w:w="332" w:type="pct"/>
            <w:tcBorders>
              <w:top w:val="nil"/>
              <w:left w:val="nil"/>
              <w:bottom w:val="single" w:color="auto" w:sz="4" w:space="0"/>
              <w:right w:val="single" w:color="auto" w:sz="4" w:space="0"/>
            </w:tcBorders>
            <w:noWrap/>
            <w:vAlign w:val="center"/>
          </w:tcPr>
          <w:p w14:paraId="038AE0BF">
            <w:pPr>
              <w:widowControl/>
              <w:spacing w:line="240" w:lineRule="atLeast"/>
              <w:jc w:val="center"/>
              <w:rPr>
                <w:rFonts w:hint="eastAsia" w:hAnsi="宋体" w:cs="宋体"/>
                <w:color w:val="auto"/>
                <w:kern w:val="0"/>
                <w:szCs w:val="21"/>
                <w:highlight w:val="none"/>
              </w:rPr>
            </w:pPr>
            <w:r>
              <w:rPr>
                <w:rFonts w:hint="eastAsia" w:hAnsi="宋体" w:cs="宋体"/>
                <w:color w:val="auto"/>
                <w:kern w:val="0"/>
                <w:szCs w:val="21"/>
                <w:highlight w:val="none"/>
              </w:rPr>
              <w:t>　</w:t>
            </w:r>
          </w:p>
        </w:tc>
        <w:tc>
          <w:tcPr>
            <w:tcW w:w="296" w:type="pct"/>
            <w:tcBorders>
              <w:top w:val="nil"/>
              <w:left w:val="nil"/>
              <w:bottom w:val="single" w:color="auto" w:sz="4" w:space="0"/>
              <w:right w:val="single" w:color="auto" w:sz="4" w:space="0"/>
            </w:tcBorders>
            <w:noWrap/>
            <w:vAlign w:val="center"/>
          </w:tcPr>
          <w:p w14:paraId="1E4133FA">
            <w:pPr>
              <w:widowControl/>
              <w:spacing w:line="240" w:lineRule="atLeast"/>
              <w:jc w:val="center"/>
              <w:rPr>
                <w:rFonts w:hint="eastAsia" w:hAnsi="宋体" w:cs="宋体"/>
                <w:color w:val="auto"/>
                <w:kern w:val="0"/>
                <w:szCs w:val="21"/>
                <w:highlight w:val="none"/>
              </w:rPr>
            </w:pPr>
            <w:r>
              <w:rPr>
                <w:rFonts w:hint="eastAsia" w:hAnsi="宋体" w:cs="宋体"/>
                <w:color w:val="auto"/>
                <w:kern w:val="0"/>
                <w:szCs w:val="21"/>
                <w:highlight w:val="none"/>
              </w:rPr>
              <w:t>　</w:t>
            </w:r>
          </w:p>
        </w:tc>
      </w:tr>
      <w:tr w14:paraId="2161946B">
        <w:tblPrEx>
          <w:tblCellMar>
            <w:top w:w="0" w:type="dxa"/>
            <w:left w:w="108" w:type="dxa"/>
            <w:bottom w:w="0" w:type="dxa"/>
            <w:right w:w="108" w:type="dxa"/>
          </w:tblCellMar>
        </w:tblPrEx>
        <w:trPr>
          <w:trHeight w:val="363" w:hRule="atLeast"/>
          <w:jc w:val="center"/>
        </w:trPr>
        <w:tc>
          <w:tcPr>
            <w:tcW w:w="183" w:type="pct"/>
            <w:tcBorders>
              <w:top w:val="nil"/>
              <w:left w:val="single" w:color="auto" w:sz="4" w:space="0"/>
              <w:bottom w:val="single" w:color="auto" w:sz="4" w:space="0"/>
              <w:right w:val="single" w:color="auto" w:sz="4" w:space="0"/>
            </w:tcBorders>
            <w:noWrap/>
            <w:vAlign w:val="center"/>
          </w:tcPr>
          <w:p w14:paraId="22B0253D">
            <w:pPr>
              <w:widowControl/>
              <w:spacing w:line="240" w:lineRule="atLeast"/>
              <w:ind w:left="-107" w:leftChars="-51" w:right="-107" w:rightChars="-51"/>
              <w:jc w:val="center"/>
              <w:rPr>
                <w:rFonts w:hint="eastAsia" w:hAnsi="宋体" w:cs="宋体"/>
                <w:b/>
                <w:color w:val="auto"/>
                <w:kern w:val="0"/>
                <w:szCs w:val="21"/>
                <w:highlight w:val="none"/>
              </w:rPr>
            </w:pPr>
            <w:r>
              <w:rPr>
                <w:rFonts w:hint="eastAsia" w:hAnsi="宋体" w:cs="宋体"/>
                <w:b/>
                <w:color w:val="auto"/>
                <w:kern w:val="0"/>
                <w:szCs w:val="21"/>
                <w:highlight w:val="none"/>
              </w:rPr>
              <w:t>2</w:t>
            </w:r>
          </w:p>
        </w:tc>
        <w:tc>
          <w:tcPr>
            <w:tcW w:w="666" w:type="pct"/>
            <w:tcBorders>
              <w:top w:val="nil"/>
              <w:left w:val="nil"/>
              <w:bottom w:val="single" w:color="auto" w:sz="4" w:space="0"/>
              <w:right w:val="single" w:color="auto" w:sz="4" w:space="0"/>
            </w:tcBorders>
            <w:noWrap w:val="0"/>
            <w:vAlign w:val="center"/>
          </w:tcPr>
          <w:p w14:paraId="4C0ABCCF">
            <w:pPr>
              <w:spacing w:line="240" w:lineRule="atLeast"/>
              <w:ind w:left="-27" w:leftChars="-13" w:right="-65" w:rightChars="-31"/>
              <w:jc w:val="left"/>
              <w:rPr>
                <w:rFonts w:hint="eastAsia" w:hAnsi="宋体" w:cs="宋体"/>
                <w:b/>
                <w:color w:val="auto"/>
                <w:kern w:val="0"/>
                <w:szCs w:val="21"/>
                <w:highlight w:val="none"/>
              </w:rPr>
            </w:pPr>
            <w:r>
              <w:rPr>
                <w:rFonts w:hint="eastAsia" w:hAnsi="宋体" w:cs="宋体"/>
                <w:b/>
                <w:color w:val="auto"/>
                <w:kern w:val="0"/>
                <w:szCs w:val="21"/>
                <w:highlight w:val="none"/>
              </w:rPr>
              <w:t>工业</w:t>
            </w:r>
          </w:p>
        </w:tc>
        <w:tc>
          <w:tcPr>
            <w:tcW w:w="405" w:type="pct"/>
            <w:tcBorders>
              <w:top w:val="nil"/>
              <w:left w:val="nil"/>
              <w:bottom w:val="single" w:color="auto" w:sz="4" w:space="0"/>
              <w:right w:val="single" w:color="auto" w:sz="4" w:space="0"/>
            </w:tcBorders>
            <w:noWrap/>
            <w:vAlign w:val="center"/>
          </w:tcPr>
          <w:p w14:paraId="19984A95">
            <w:pPr>
              <w:widowControl/>
              <w:spacing w:line="240" w:lineRule="atLeast"/>
              <w:ind w:left="-107" w:leftChars="-51" w:right="-107" w:rightChars="-51"/>
              <w:jc w:val="center"/>
              <w:rPr>
                <w:rFonts w:hint="eastAsia" w:hAnsi="宋体" w:cs="宋体"/>
                <w:color w:val="auto"/>
                <w:kern w:val="0"/>
                <w:szCs w:val="21"/>
                <w:highlight w:val="none"/>
              </w:rPr>
            </w:pPr>
            <w:r>
              <w:rPr>
                <w:rFonts w:hint="eastAsia" w:hAnsi="宋体" w:cs="宋体"/>
                <w:color w:val="auto"/>
                <w:kern w:val="0"/>
                <w:szCs w:val="21"/>
                <w:highlight w:val="none"/>
              </w:rPr>
              <w:t>≥40000</w:t>
            </w:r>
          </w:p>
        </w:tc>
        <w:tc>
          <w:tcPr>
            <w:tcW w:w="332" w:type="pct"/>
            <w:tcBorders>
              <w:top w:val="nil"/>
              <w:left w:val="nil"/>
              <w:bottom w:val="single" w:color="auto" w:sz="4" w:space="0"/>
              <w:right w:val="single" w:color="auto" w:sz="4" w:space="0"/>
            </w:tcBorders>
            <w:noWrap/>
            <w:vAlign w:val="center"/>
          </w:tcPr>
          <w:p w14:paraId="06527BBB">
            <w:pPr>
              <w:widowControl/>
              <w:spacing w:line="240" w:lineRule="atLeast"/>
              <w:ind w:left="-107" w:leftChars="-51" w:right="-107" w:rightChars="-51"/>
              <w:jc w:val="center"/>
              <w:rPr>
                <w:rFonts w:hint="eastAsia" w:hAnsi="宋体" w:cs="宋体"/>
                <w:color w:val="auto"/>
                <w:kern w:val="0"/>
                <w:szCs w:val="21"/>
                <w:highlight w:val="none"/>
              </w:rPr>
            </w:pPr>
            <w:r>
              <w:rPr>
                <w:rFonts w:hint="eastAsia" w:hAnsi="宋体" w:cs="宋体"/>
                <w:color w:val="auto"/>
                <w:kern w:val="0"/>
                <w:szCs w:val="21"/>
                <w:highlight w:val="none"/>
              </w:rPr>
              <w:t>≥1000</w:t>
            </w:r>
          </w:p>
        </w:tc>
        <w:tc>
          <w:tcPr>
            <w:tcW w:w="316" w:type="pct"/>
            <w:tcBorders>
              <w:top w:val="nil"/>
              <w:left w:val="nil"/>
              <w:bottom w:val="single" w:color="auto" w:sz="4" w:space="0"/>
              <w:right w:val="single" w:color="auto" w:sz="4" w:space="0"/>
            </w:tcBorders>
            <w:noWrap/>
            <w:vAlign w:val="center"/>
          </w:tcPr>
          <w:p w14:paraId="052E7EFE">
            <w:pPr>
              <w:widowControl/>
              <w:spacing w:line="240" w:lineRule="atLeast"/>
              <w:ind w:left="-107" w:leftChars="-51" w:right="-107" w:rightChars="-51"/>
              <w:jc w:val="center"/>
              <w:rPr>
                <w:rFonts w:hint="eastAsia" w:hAnsi="宋体" w:cs="宋体"/>
                <w:color w:val="auto"/>
                <w:kern w:val="0"/>
                <w:szCs w:val="21"/>
                <w:highlight w:val="none"/>
              </w:rPr>
            </w:pPr>
            <w:r>
              <w:rPr>
                <w:rFonts w:hint="eastAsia" w:hAnsi="宋体" w:cs="宋体"/>
                <w:color w:val="auto"/>
                <w:kern w:val="0"/>
                <w:szCs w:val="21"/>
                <w:highlight w:val="none"/>
              </w:rPr>
              <w:t>　</w:t>
            </w:r>
          </w:p>
        </w:tc>
        <w:tc>
          <w:tcPr>
            <w:tcW w:w="374" w:type="pct"/>
            <w:tcBorders>
              <w:top w:val="nil"/>
              <w:left w:val="nil"/>
              <w:bottom w:val="single" w:color="auto" w:sz="4" w:space="0"/>
              <w:right w:val="single" w:color="auto" w:sz="4" w:space="0"/>
            </w:tcBorders>
            <w:noWrap/>
            <w:vAlign w:val="center"/>
          </w:tcPr>
          <w:p w14:paraId="00D1D766">
            <w:pPr>
              <w:widowControl/>
              <w:spacing w:line="240" w:lineRule="atLeast"/>
              <w:ind w:left="-107" w:leftChars="-51" w:right="-107" w:rightChars="-51"/>
              <w:jc w:val="center"/>
              <w:rPr>
                <w:rFonts w:hint="eastAsia" w:hAnsi="宋体" w:cs="宋体"/>
                <w:color w:val="auto"/>
                <w:kern w:val="0"/>
                <w:szCs w:val="21"/>
                <w:highlight w:val="none"/>
              </w:rPr>
            </w:pPr>
            <w:r>
              <w:rPr>
                <w:rFonts w:hint="eastAsia" w:hAnsi="宋体" w:cs="宋体"/>
                <w:color w:val="auto"/>
                <w:kern w:val="0"/>
                <w:szCs w:val="21"/>
                <w:highlight w:val="none"/>
              </w:rPr>
              <w:t>≥2000</w:t>
            </w:r>
          </w:p>
        </w:tc>
        <w:tc>
          <w:tcPr>
            <w:tcW w:w="332" w:type="pct"/>
            <w:tcBorders>
              <w:top w:val="nil"/>
              <w:left w:val="nil"/>
              <w:bottom w:val="single" w:color="auto" w:sz="4" w:space="0"/>
              <w:right w:val="single" w:color="auto" w:sz="4" w:space="0"/>
            </w:tcBorders>
            <w:noWrap/>
            <w:vAlign w:val="center"/>
          </w:tcPr>
          <w:p w14:paraId="7F3FB506">
            <w:pPr>
              <w:widowControl/>
              <w:spacing w:line="240" w:lineRule="atLeast"/>
              <w:ind w:left="-107" w:leftChars="-51" w:right="-107" w:rightChars="-51"/>
              <w:jc w:val="center"/>
              <w:rPr>
                <w:rFonts w:hint="eastAsia" w:hAnsi="宋体" w:cs="宋体"/>
                <w:color w:val="auto"/>
                <w:kern w:val="0"/>
                <w:szCs w:val="21"/>
                <w:highlight w:val="none"/>
              </w:rPr>
            </w:pPr>
            <w:r>
              <w:rPr>
                <w:rFonts w:hint="eastAsia" w:hAnsi="宋体" w:cs="宋体"/>
                <w:color w:val="auto"/>
                <w:kern w:val="0"/>
                <w:szCs w:val="21"/>
                <w:highlight w:val="none"/>
              </w:rPr>
              <w:t>≥300</w:t>
            </w:r>
          </w:p>
        </w:tc>
        <w:tc>
          <w:tcPr>
            <w:tcW w:w="336" w:type="pct"/>
            <w:tcBorders>
              <w:top w:val="nil"/>
              <w:left w:val="nil"/>
              <w:bottom w:val="single" w:color="auto" w:sz="4" w:space="0"/>
              <w:right w:val="single" w:color="auto" w:sz="4" w:space="0"/>
            </w:tcBorders>
            <w:noWrap/>
            <w:vAlign w:val="center"/>
          </w:tcPr>
          <w:p w14:paraId="1D66ADDC">
            <w:pPr>
              <w:widowControl/>
              <w:spacing w:line="240" w:lineRule="atLeast"/>
              <w:jc w:val="center"/>
              <w:rPr>
                <w:rFonts w:hint="eastAsia" w:hAnsi="宋体" w:cs="宋体"/>
                <w:color w:val="auto"/>
                <w:kern w:val="0"/>
                <w:szCs w:val="21"/>
                <w:highlight w:val="none"/>
              </w:rPr>
            </w:pPr>
            <w:r>
              <w:rPr>
                <w:rFonts w:hint="eastAsia" w:hAnsi="宋体" w:cs="宋体"/>
                <w:color w:val="auto"/>
                <w:kern w:val="0"/>
                <w:szCs w:val="21"/>
                <w:highlight w:val="none"/>
              </w:rPr>
              <w:t>　</w:t>
            </w:r>
          </w:p>
        </w:tc>
        <w:tc>
          <w:tcPr>
            <w:tcW w:w="374" w:type="pct"/>
            <w:tcBorders>
              <w:top w:val="nil"/>
              <w:left w:val="nil"/>
              <w:bottom w:val="single" w:color="auto" w:sz="4" w:space="0"/>
              <w:right w:val="single" w:color="auto" w:sz="4" w:space="0"/>
            </w:tcBorders>
            <w:noWrap/>
            <w:vAlign w:val="center"/>
          </w:tcPr>
          <w:p w14:paraId="336C9BDB">
            <w:pPr>
              <w:widowControl/>
              <w:spacing w:line="240" w:lineRule="atLeast"/>
              <w:jc w:val="center"/>
              <w:rPr>
                <w:rFonts w:hint="eastAsia" w:hAnsi="宋体" w:cs="宋体"/>
                <w:color w:val="auto"/>
                <w:kern w:val="0"/>
                <w:szCs w:val="21"/>
                <w:highlight w:val="none"/>
              </w:rPr>
            </w:pPr>
            <w:r>
              <w:rPr>
                <w:rFonts w:hint="eastAsia" w:hAnsi="宋体" w:cs="宋体"/>
                <w:color w:val="auto"/>
                <w:kern w:val="0"/>
                <w:szCs w:val="21"/>
                <w:highlight w:val="none"/>
              </w:rPr>
              <w:t>≥300</w:t>
            </w:r>
          </w:p>
        </w:tc>
        <w:tc>
          <w:tcPr>
            <w:tcW w:w="332" w:type="pct"/>
            <w:tcBorders>
              <w:top w:val="nil"/>
              <w:left w:val="nil"/>
              <w:bottom w:val="single" w:color="auto" w:sz="4" w:space="0"/>
              <w:right w:val="single" w:color="auto" w:sz="4" w:space="0"/>
            </w:tcBorders>
            <w:noWrap/>
            <w:vAlign w:val="center"/>
          </w:tcPr>
          <w:p w14:paraId="280C6EC9">
            <w:pPr>
              <w:widowControl/>
              <w:spacing w:line="240" w:lineRule="atLeast"/>
              <w:jc w:val="center"/>
              <w:rPr>
                <w:rFonts w:hint="eastAsia" w:hAnsi="宋体" w:cs="宋体"/>
                <w:color w:val="auto"/>
                <w:kern w:val="0"/>
                <w:szCs w:val="21"/>
                <w:highlight w:val="none"/>
              </w:rPr>
            </w:pPr>
            <w:r>
              <w:rPr>
                <w:rFonts w:hint="eastAsia" w:hAnsi="宋体" w:cs="宋体"/>
                <w:color w:val="auto"/>
                <w:kern w:val="0"/>
                <w:szCs w:val="21"/>
                <w:highlight w:val="none"/>
              </w:rPr>
              <w:t>≥20</w:t>
            </w:r>
          </w:p>
        </w:tc>
        <w:tc>
          <w:tcPr>
            <w:tcW w:w="338" w:type="pct"/>
            <w:tcBorders>
              <w:top w:val="nil"/>
              <w:left w:val="nil"/>
              <w:bottom w:val="single" w:color="auto" w:sz="4" w:space="0"/>
              <w:right w:val="single" w:color="auto" w:sz="4" w:space="0"/>
            </w:tcBorders>
            <w:noWrap/>
            <w:vAlign w:val="center"/>
          </w:tcPr>
          <w:p w14:paraId="09D48EEE">
            <w:pPr>
              <w:widowControl/>
              <w:spacing w:line="240" w:lineRule="atLeast"/>
              <w:jc w:val="center"/>
              <w:rPr>
                <w:rFonts w:hint="eastAsia" w:hAnsi="宋体" w:cs="宋体"/>
                <w:color w:val="auto"/>
                <w:kern w:val="0"/>
                <w:szCs w:val="21"/>
                <w:highlight w:val="none"/>
              </w:rPr>
            </w:pPr>
            <w:r>
              <w:rPr>
                <w:rFonts w:hint="eastAsia" w:hAnsi="宋体" w:cs="宋体"/>
                <w:color w:val="auto"/>
                <w:kern w:val="0"/>
                <w:szCs w:val="21"/>
                <w:highlight w:val="none"/>
              </w:rPr>
              <w:t>　</w:t>
            </w:r>
          </w:p>
        </w:tc>
        <w:tc>
          <w:tcPr>
            <w:tcW w:w="374" w:type="pct"/>
            <w:tcBorders>
              <w:top w:val="nil"/>
              <w:left w:val="nil"/>
              <w:bottom w:val="single" w:color="auto" w:sz="4" w:space="0"/>
              <w:right w:val="single" w:color="auto" w:sz="4" w:space="0"/>
            </w:tcBorders>
            <w:noWrap/>
            <w:vAlign w:val="center"/>
          </w:tcPr>
          <w:p w14:paraId="70392F58">
            <w:pPr>
              <w:widowControl/>
              <w:spacing w:line="240" w:lineRule="atLeast"/>
              <w:jc w:val="center"/>
              <w:rPr>
                <w:rFonts w:hint="eastAsia" w:hAnsi="宋体" w:cs="宋体"/>
                <w:color w:val="auto"/>
                <w:kern w:val="0"/>
                <w:szCs w:val="21"/>
                <w:highlight w:val="none"/>
              </w:rPr>
            </w:pPr>
            <w:r>
              <w:rPr>
                <w:rFonts w:hint="eastAsia" w:hAnsi="宋体" w:cs="宋体"/>
                <w:color w:val="auto"/>
                <w:kern w:val="0"/>
                <w:szCs w:val="21"/>
                <w:highlight w:val="none"/>
              </w:rPr>
              <w:t>＜300</w:t>
            </w:r>
          </w:p>
        </w:tc>
        <w:tc>
          <w:tcPr>
            <w:tcW w:w="332" w:type="pct"/>
            <w:tcBorders>
              <w:top w:val="nil"/>
              <w:left w:val="nil"/>
              <w:bottom w:val="single" w:color="auto" w:sz="4" w:space="0"/>
              <w:right w:val="single" w:color="auto" w:sz="4" w:space="0"/>
            </w:tcBorders>
            <w:noWrap/>
            <w:vAlign w:val="center"/>
          </w:tcPr>
          <w:p w14:paraId="06C8D141">
            <w:pPr>
              <w:widowControl/>
              <w:spacing w:line="240" w:lineRule="atLeast"/>
              <w:jc w:val="center"/>
              <w:rPr>
                <w:rFonts w:hint="eastAsia" w:hAnsi="宋体" w:cs="宋体"/>
                <w:color w:val="auto"/>
                <w:kern w:val="0"/>
                <w:szCs w:val="21"/>
                <w:highlight w:val="none"/>
              </w:rPr>
            </w:pPr>
            <w:r>
              <w:rPr>
                <w:rFonts w:hint="eastAsia" w:hAnsi="宋体" w:cs="宋体"/>
                <w:color w:val="auto"/>
                <w:kern w:val="0"/>
                <w:szCs w:val="21"/>
                <w:highlight w:val="none"/>
              </w:rPr>
              <w:t>＜20</w:t>
            </w:r>
          </w:p>
        </w:tc>
        <w:tc>
          <w:tcPr>
            <w:tcW w:w="296" w:type="pct"/>
            <w:tcBorders>
              <w:top w:val="nil"/>
              <w:left w:val="nil"/>
              <w:bottom w:val="single" w:color="auto" w:sz="4" w:space="0"/>
              <w:right w:val="single" w:color="auto" w:sz="4" w:space="0"/>
            </w:tcBorders>
            <w:noWrap/>
            <w:vAlign w:val="center"/>
          </w:tcPr>
          <w:p w14:paraId="13F6B017">
            <w:pPr>
              <w:widowControl/>
              <w:spacing w:line="240" w:lineRule="atLeast"/>
              <w:jc w:val="center"/>
              <w:rPr>
                <w:rFonts w:hint="eastAsia" w:hAnsi="宋体" w:cs="宋体"/>
                <w:color w:val="auto"/>
                <w:kern w:val="0"/>
                <w:szCs w:val="21"/>
                <w:highlight w:val="none"/>
              </w:rPr>
            </w:pPr>
            <w:r>
              <w:rPr>
                <w:rFonts w:hint="eastAsia" w:hAnsi="宋体" w:cs="宋体"/>
                <w:color w:val="auto"/>
                <w:kern w:val="0"/>
                <w:szCs w:val="21"/>
                <w:highlight w:val="none"/>
              </w:rPr>
              <w:t>　</w:t>
            </w:r>
          </w:p>
        </w:tc>
      </w:tr>
      <w:tr w14:paraId="02BD0A80">
        <w:tblPrEx>
          <w:tblCellMar>
            <w:top w:w="0" w:type="dxa"/>
            <w:left w:w="108" w:type="dxa"/>
            <w:bottom w:w="0" w:type="dxa"/>
            <w:right w:w="108" w:type="dxa"/>
          </w:tblCellMar>
        </w:tblPrEx>
        <w:trPr>
          <w:trHeight w:val="363" w:hRule="atLeast"/>
          <w:jc w:val="center"/>
        </w:trPr>
        <w:tc>
          <w:tcPr>
            <w:tcW w:w="183" w:type="pct"/>
            <w:tcBorders>
              <w:top w:val="nil"/>
              <w:left w:val="single" w:color="auto" w:sz="4" w:space="0"/>
              <w:bottom w:val="single" w:color="auto" w:sz="4" w:space="0"/>
              <w:right w:val="single" w:color="auto" w:sz="4" w:space="0"/>
            </w:tcBorders>
            <w:noWrap/>
            <w:vAlign w:val="center"/>
          </w:tcPr>
          <w:p w14:paraId="3CA70548">
            <w:pPr>
              <w:widowControl/>
              <w:spacing w:line="240" w:lineRule="atLeast"/>
              <w:ind w:left="-107" w:leftChars="-51" w:right="-107" w:rightChars="-51"/>
              <w:jc w:val="center"/>
              <w:rPr>
                <w:rFonts w:hint="eastAsia" w:hAnsi="宋体" w:cs="宋体"/>
                <w:b/>
                <w:color w:val="auto"/>
                <w:kern w:val="0"/>
                <w:szCs w:val="21"/>
                <w:highlight w:val="none"/>
              </w:rPr>
            </w:pPr>
            <w:r>
              <w:rPr>
                <w:rFonts w:hint="eastAsia" w:hAnsi="宋体" w:cs="宋体"/>
                <w:b/>
                <w:color w:val="auto"/>
                <w:kern w:val="0"/>
                <w:szCs w:val="21"/>
                <w:highlight w:val="none"/>
              </w:rPr>
              <w:t>3</w:t>
            </w:r>
          </w:p>
        </w:tc>
        <w:tc>
          <w:tcPr>
            <w:tcW w:w="666" w:type="pct"/>
            <w:tcBorders>
              <w:top w:val="nil"/>
              <w:left w:val="nil"/>
              <w:bottom w:val="single" w:color="auto" w:sz="4" w:space="0"/>
              <w:right w:val="single" w:color="auto" w:sz="4" w:space="0"/>
            </w:tcBorders>
            <w:noWrap w:val="0"/>
            <w:vAlign w:val="center"/>
          </w:tcPr>
          <w:p w14:paraId="58FE481B">
            <w:pPr>
              <w:spacing w:line="240" w:lineRule="atLeast"/>
              <w:ind w:left="-27" w:leftChars="-13" w:right="-65" w:rightChars="-31"/>
              <w:jc w:val="left"/>
              <w:rPr>
                <w:rFonts w:hint="eastAsia" w:hAnsi="宋体" w:cs="宋体"/>
                <w:b/>
                <w:color w:val="auto"/>
                <w:kern w:val="0"/>
                <w:szCs w:val="21"/>
                <w:highlight w:val="none"/>
              </w:rPr>
            </w:pPr>
            <w:r>
              <w:rPr>
                <w:rFonts w:hint="eastAsia" w:hAnsi="宋体" w:cs="宋体"/>
                <w:b/>
                <w:color w:val="auto"/>
                <w:kern w:val="0"/>
                <w:szCs w:val="21"/>
                <w:highlight w:val="none"/>
              </w:rPr>
              <w:t>建筑业</w:t>
            </w:r>
          </w:p>
        </w:tc>
        <w:tc>
          <w:tcPr>
            <w:tcW w:w="405" w:type="pct"/>
            <w:tcBorders>
              <w:top w:val="nil"/>
              <w:left w:val="nil"/>
              <w:bottom w:val="single" w:color="auto" w:sz="4" w:space="0"/>
              <w:right w:val="single" w:color="auto" w:sz="4" w:space="0"/>
            </w:tcBorders>
            <w:noWrap/>
            <w:vAlign w:val="center"/>
          </w:tcPr>
          <w:p w14:paraId="131325D6">
            <w:pPr>
              <w:widowControl/>
              <w:spacing w:line="240" w:lineRule="atLeast"/>
              <w:ind w:left="-107" w:leftChars="-51" w:right="-107" w:rightChars="-51"/>
              <w:jc w:val="center"/>
              <w:rPr>
                <w:rFonts w:hint="eastAsia" w:hAnsi="宋体" w:cs="宋体"/>
                <w:color w:val="auto"/>
                <w:kern w:val="0"/>
                <w:szCs w:val="21"/>
                <w:highlight w:val="none"/>
              </w:rPr>
            </w:pPr>
            <w:r>
              <w:rPr>
                <w:rFonts w:hint="eastAsia" w:hAnsi="宋体" w:cs="宋体"/>
                <w:color w:val="auto"/>
                <w:kern w:val="0"/>
                <w:szCs w:val="21"/>
                <w:highlight w:val="none"/>
              </w:rPr>
              <w:t>≥80000</w:t>
            </w:r>
          </w:p>
        </w:tc>
        <w:tc>
          <w:tcPr>
            <w:tcW w:w="332" w:type="pct"/>
            <w:tcBorders>
              <w:top w:val="nil"/>
              <w:left w:val="nil"/>
              <w:bottom w:val="single" w:color="auto" w:sz="4" w:space="0"/>
              <w:right w:val="single" w:color="auto" w:sz="4" w:space="0"/>
            </w:tcBorders>
            <w:noWrap/>
            <w:vAlign w:val="center"/>
          </w:tcPr>
          <w:p w14:paraId="04F3BCA1">
            <w:pPr>
              <w:widowControl/>
              <w:spacing w:line="240" w:lineRule="atLeast"/>
              <w:ind w:left="-107" w:leftChars="-51" w:right="-107" w:rightChars="-51"/>
              <w:jc w:val="center"/>
              <w:rPr>
                <w:rFonts w:hint="eastAsia" w:hAnsi="宋体" w:cs="宋体"/>
                <w:color w:val="auto"/>
                <w:kern w:val="0"/>
                <w:szCs w:val="21"/>
                <w:highlight w:val="none"/>
              </w:rPr>
            </w:pPr>
            <w:r>
              <w:rPr>
                <w:rFonts w:hint="eastAsia" w:hAnsi="宋体" w:cs="宋体"/>
                <w:color w:val="auto"/>
                <w:kern w:val="0"/>
                <w:szCs w:val="21"/>
                <w:highlight w:val="none"/>
              </w:rPr>
              <w:t>　</w:t>
            </w:r>
          </w:p>
        </w:tc>
        <w:tc>
          <w:tcPr>
            <w:tcW w:w="316" w:type="pct"/>
            <w:tcBorders>
              <w:top w:val="nil"/>
              <w:left w:val="nil"/>
              <w:bottom w:val="single" w:color="auto" w:sz="4" w:space="0"/>
              <w:right w:val="single" w:color="auto" w:sz="4" w:space="0"/>
            </w:tcBorders>
            <w:noWrap/>
            <w:vAlign w:val="center"/>
          </w:tcPr>
          <w:p w14:paraId="691A8EB2">
            <w:pPr>
              <w:widowControl/>
              <w:spacing w:line="240" w:lineRule="atLeast"/>
              <w:ind w:left="-107" w:leftChars="-51" w:right="-107" w:rightChars="-51"/>
              <w:jc w:val="center"/>
              <w:rPr>
                <w:rFonts w:hint="eastAsia" w:hAnsi="宋体" w:cs="宋体"/>
                <w:color w:val="auto"/>
                <w:kern w:val="0"/>
                <w:szCs w:val="21"/>
                <w:highlight w:val="none"/>
              </w:rPr>
            </w:pPr>
            <w:r>
              <w:rPr>
                <w:rFonts w:hint="eastAsia" w:hAnsi="宋体" w:cs="宋体"/>
                <w:color w:val="auto"/>
                <w:kern w:val="0"/>
                <w:szCs w:val="21"/>
                <w:highlight w:val="none"/>
              </w:rPr>
              <w:t>≥80000</w:t>
            </w:r>
          </w:p>
        </w:tc>
        <w:tc>
          <w:tcPr>
            <w:tcW w:w="374" w:type="pct"/>
            <w:tcBorders>
              <w:top w:val="nil"/>
              <w:left w:val="nil"/>
              <w:bottom w:val="single" w:color="auto" w:sz="4" w:space="0"/>
              <w:right w:val="single" w:color="auto" w:sz="4" w:space="0"/>
            </w:tcBorders>
            <w:noWrap/>
            <w:vAlign w:val="center"/>
          </w:tcPr>
          <w:p w14:paraId="02F3572A">
            <w:pPr>
              <w:widowControl/>
              <w:spacing w:line="240" w:lineRule="atLeast"/>
              <w:ind w:left="-107" w:leftChars="-51" w:right="-107" w:rightChars="-51"/>
              <w:jc w:val="center"/>
              <w:rPr>
                <w:rFonts w:hint="eastAsia" w:hAnsi="宋体" w:cs="宋体"/>
                <w:color w:val="auto"/>
                <w:kern w:val="0"/>
                <w:szCs w:val="21"/>
                <w:highlight w:val="none"/>
              </w:rPr>
            </w:pPr>
            <w:r>
              <w:rPr>
                <w:rFonts w:hint="eastAsia" w:hAnsi="宋体" w:cs="宋体"/>
                <w:color w:val="auto"/>
                <w:kern w:val="0"/>
                <w:szCs w:val="21"/>
                <w:highlight w:val="none"/>
              </w:rPr>
              <w:t>≥6000</w:t>
            </w:r>
          </w:p>
        </w:tc>
        <w:tc>
          <w:tcPr>
            <w:tcW w:w="332" w:type="pct"/>
            <w:tcBorders>
              <w:top w:val="nil"/>
              <w:left w:val="nil"/>
              <w:bottom w:val="single" w:color="auto" w:sz="4" w:space="0"/>
              <w:right w:val="single" w:color="auto" w:sz="4" w:space="0"/>
            </w:tcBorders>
            <w:noWrap/>
            <w:vAlign w:val="center"/>
          </w:tcPr>
          <w:p w14:paraId="143C13B5">
            <w:pPr>
              <w:widowControl/>
              <w:spacing w:line="240" w:lineRule="atLeast"/>
              <w:ind w:left="-107" w:leftChars="-51" w:right="-107" w:rightChars="-51"/>
              <w:jc w:val="center"/>
              <w:rPr>
                <w:rFonts w:hint="eastAsia" w:hAnsi="宋体" w:cs="宋体"/>
                <w:color w:val="auto"/>
                <w:kern w:val="0"/>
                <w:szCs w:val="21"/>
                <w:highlight w:val="none"/>
              </w:rPr>
            </w:pPr>
            <w:r>
              <w:rPr>
                <w:rFonts w:hint="eastAsia" w:hAnsi="宋体" w:cs="宋体"/>
                <w:color w:val="auto"/>
                <w:kern w:val="0"/>
                <w:szCs w:val="21"/>
                <w:highlight w:val="none"/>
              </w:rPr>
              <w:t>　</w:t>
            </w:r>
          </w:p>
        </w:tc>
        <w:tc>
          <w:tcPr>
            <w:tcW w:w="336" w:type="pct"/>
            <w:tcBorders>
              <w:top w:val="nil"/>
              <w:left w:val="nil"/>
              <w:bottom w:val="single" w:color="auto" w:sz="4" w:space="0"/>
              <w:right w:val="single" w:color="auto" w:sz="4" w:space="0"/>
            </w:tcBorders>
            <w:noWrap/>
            <w:vAlign w:val="center"/>
          </w:tcPr>
          <w:p w14:paraId="543DC1F0">
            <w:pPr>
              <w:widowControl/>
              <w:spacing w:line="240" w:lineRule="atLeast"/>
              <w:jc w:val="center"/>
              <w:rPr>
                <w:rFonts w:hint="eastAsia" w:hAnsi="宋体" w:cs="宋体"/>
                <w:color w:val="auto"/>
                <w:kern w:val="0"/>
                <w:szCs w:val="21"/>
                <w:highlight w:val="none"/>
              </w:rPr>
            </w:pPr>
            <w:r>
              <w:rPr>
                <w:rFonts w:hint="eastAsia" w:hAnsi="宋体" w:cs="宋体"/>
                <w:color w:val="auto"/>
                <w:kern w:val="0"/>
                <w:szCs w:val="21"/>
                <w:highlight w:val="none"/>
              </w:rPr>
              <w:t>≥5000</w:t>
            </w:r>
          </w:p>
        </w:tc>
        <w:tc>
          <w:tcPr>
            <w:tcW w:w="374" w:type="pct"/>
            <w:tcBorders>
              <w:top w:val="nil"/>
              <w:left w:val="nil"/>
              <w:bottom w:val="single" w:color="auto" w:sz="4" w:space="0"/>
              <w:right w:val="single" w:color="auto" w:sz="4" w:space="0"/>
            </w:tcBorders>
            <w:noWrap/>
            <w:vAlign w:val="center"/>
          </w:tcPr>
          <w:p w14:paraId="063F37C9">
            <w:pPr>
              <w:widowControl/>
              <w:spacing w:line="240" w:lineRule="atLeast"/>
              <w:jc w:val="center"/>
              <w:rPr>
                <w:rFonts w:hint="eastAsia" w:hAnsi="宋体" w:cs="宋体"/>
                <w:color w:val="auto"/>
                <w:kern w:val="0"/>
                <w:szCs w:val="21"/>
                <w:highlight w:val="none"/>
              </w:rPr>
            </w:pPr>
            <w:r>
              <w:rPr>
                <w:rFonts w:hint="eastAsia" w:hAnsi="宋体" w:cs="宋体"/>
                <w:color w:val="auto"/>
                <w:kern w:val="0"/>
                <w:szCs w:val="21"/>
                <w:highlight w:val="none"/>
              </w:rPr>
              <w:t>≥300</w:t>
            </w:r>
          </w:p>
        </w:tc>
        <w:tc>
          <w:tcPr>
            <w:tcW w:w="332" w:type="pct"/>
            <w:tcBorders>
              <w:top w:val="nil"/>
              <w:left w:val="nil"/>
              <w:bottom w:val="single" w:color="auto" w:sz="4" w:space="0"/>
              <w:right w:val="single" w:color="auto" w:sz="4" w:space="0"/>
            </w:tcBorders>
            <w:noWrap/>
            <w:vAlign w:val="center"/>
          </w:tcPr>
          <w:p w14:paraId="78FC556E">
            <w:pPr>
              <w:widowControl/>
              <w:spacing w:line="240" w:lineRule="atLeast"/>
              <w:jc w:val="center"/>
              <w:rPr>
                <w:rFonts w:hint="eastAsia" w:hAnsi="宋体" w:cs="宋体"/>
                <w:color w:val="auto"/>
                <w:kern w:val="0"/>
                <w:szCs w:val="21"/>
                <w:highlight w:val="none"/>
              </w:rPr>
            </w:pPr>
            <w:r>
              <w:rPr>
                <w:rFonts w:hint="eastAsia" w:hAnsi="宋体" w:cs="宋体"/>
                <w:color w:val="auto"/>
                <w:kern w:val="0"/>
                <w:szCs w:val="21"/>
                <w:highlight w:val="none"/>
              </w:rPr>
              <w:t>　</w:t>
            </w:r>
          </w:p>
        </w:tc>
        <w:tc>
          <w:tcPr>
            <w:tcW w:w="338" w:type="pct"/>
            <w:tcBorders>
              <w:top w:val="nil"/>
              <w:left w:val="nil"/>
              <w:bottom w:val="single" w:color="auto" w:sz="4" w:space="0"/>
              <w:right w:val="single" w:color="auto" w:sz="4" w:space="0"/>
            </w:tcBorders>
            <w:noWrap/>
            <w:vAlign w:val="center"/>
          </w:tcPr>
          <w:p w14:paraId="18F7DFFA">
            <w:pPr>
              <w:widowControl/>
              <w:spacing w:line="240" w:lineRule="atLeast"/>
              <w:jc w:val="center"/>
              <w:rPr>
                <w:rFonts w:hint="eastAsia" w:hAnsi="宋体" w:cs="宋体"/>
                <w:color w:val="auto"/>
                <w:kern w:val="0"/>
                <w:szCs w:val="21"/>
                <w:highlight w:val="none"/>
              </w:rPr>
            </w:pPr>
            <w:r>
              <w:rPr>
                <w:rFonts w:hint="eastAsia" w:hAnsi="宋体" w:cs="宋体"/>
                <w:color w:val="auto"/>
                <w:kern w:val="0"/>
                <w:szCs w:val="21"/>
                <w:highlight w:val="none"/>
              </w:rPr>
              <w:t>≥300</w:t>
            </w:r>
          </w:p>
        </w:tc>
        <w:tc>
          <w:tcPr>
            <w:tcW w:w="374" w:type="pct"/>
            <w:tcBorders>
              <w:top w:val="nil"/>
              <w:left w:val="nil"/>
              <w:bottom w:val="single" w:color="auto" w:sz="4" w:space="0"/>
              <w:right w:val="single" w:color="auto" w:sz="4" w:space="0"/>
            </w:tcBorders>
            <w:noWrap/>
            <w:vAlign w:val="center"/>
          </w:tcPr>
          <w:p w14:paraId="773B1EA9">
            <w:pPr>
              <w:widowControl/>
              <w:spacing w:line="240" w:lineRule="atLeast"/>
              <w:jc w:val="center"/>
              <w:rPr>
                <w:rFonts w:hint="eastAsia" w:hAnsi="宋体" w:cs="宋体"/>
                <w:color w:val="auto"/>
                <w:kern w:val="0"/>
                <w:szCs w:val="21"/>
                <w:highlight w:val="none"/>
              </w:rPr>
            </w:pPr>
            <w:r>
              <w:rPr>
                <w:rFonts w:hint="eastAsia" w:hAnsi="宋体" w:cs="宋体"/>
                <w:color w:val="auto"/>
                <w:kern w:val="0"/>
                <w:szCs w:val="21"/>
                <w:highlight w:val="none"/>
              </w:rPr>
              <w:t>＜300</w:t>
            </w:r>
          </w:p>
        </w:tc>
        <w:tc>
          <w:tcPr>
            <w:tcW w:w="332" w:type="pct"/>
            <w:tcBorders>
              <w:top w:val="nil"/>
              <w:left w:val="nil"/>
              <w:bottom w:val="single" w:color="auto" w:sz="4" w:space="0"/>
              <w:right w:val="single" w:color="auto" w:sz="4" w:space="0"/>
            </w:tcBorders>
            <w:noWrap/>
            <w:vAlign w:val="center"/>
          </w:tcPr>
          <w:p w14:paraId="37FC1132">
            <w:pPr>
              <w:widowControl/>
              <w:spacing w:line="240" w:lineRule="atLeast"/>
              <w:jc w:val="center"/>
              <w:rPr>
                <w:rFonts w:hint="eastAsia" w:hAnsi="宋体" w:cs="宋体"/>
                <w:color w:val="auto"/>
                <w:kern w:val="0"/>
                <w:szCs w:val="21"/>
                <w:highlight w:val="none"/>
              </w:rPr>
            </w:pPr>
            <w:r>
              <w:rPr>
                <w:rFonts w:hint="eastAsia" w:hAnsi="宋体" w:cs="宋体"/>
                <w:color w:val="auto"/>
                <w:kern w:val="0"/>
                <w:szCs w:val="21"/>
                <w:highlight w:val="none"/>
              </w:rPr>
              <w:t>　</w:t>
            </w:r>
          </w:p>
        </w:tc>
        <w:tc>
          <w:tcPr>
            <w:tcW w:w="296" w:type="pct"/>
            <w:tcBorders>
              <w:top w:val="nil"/>
              <w:left w:val="nil"/>
              <w:bottom w:val="single" w:color="auto" w:sz="4" w:space="0"/>
              <w:right w:val="single" w:color="auto" w:sz="4" w:space="0"/>
            </w:tcBorders>
            <w:noWrap/>
            <w:vAlign w:val="center"/>
          </w:tcPr>
          <w:p w14:paraId="02DF6E72">
            <w:pPr>
              <w:widowControl/>
              <w:spacing w:line="240" w:lineRule="atLeast"/>
              <w:jc w:val="center"/>
              <w:rPr>
                <w:rFonts w:hint="eastAsia" w:hAnsi="宋体" w:cs="宋体"/>
                <w:color w:val="auto"/>
                <w:kern w:val="0"/>
                <w:szCs w:val="21"/>
                <w:highlight w:val="none"/>
              </w:rPr>
            </w:pPr>
            <w:r>
              <w:rPr>
                <w:rFonts w:hint="eastAsia" w:hAnsi="宋体" w:cs="宋体"/>
                <w:color w:val="auto"/>
                <w:kern w:val="0"/>
                <w:szCs w:val="21"/>
                <w:highlight w:val="none"/>
              </w:rPr>
              <w:t>＜300</w:t>
            </w:r>
          </w:p>
        </w:tc>
      </w:tr>
      <w:tr w14:paraId="5121DDC8">
        <w:tblPrEx>
          <w:tblCellMar>
            <w:top w:w="0" w:type="dxa"/>
            <w:left w:w="108" w:type="dxa"/>
            <w:bottom w:w="0" w:type="dxa"/>
            <w:right w:w="108" w:type="dxa"/>
          </w:tblCellMar>
        </w:tblPrEx>
        <w:trPr>
          <w:trHeight w:val="363" w:hRule="atLeast"/>
          <w:jc w:val="center"/>
        </w:trPr>
        <w:tc>
          <w:tcPr>
            <w:tcW w:w="183" w:type="pct"/>
            <w:tcBorders>
              <w:top w:val="nil"/>
              <w:left w:val="single" w:color="auto" w:sz="4" w:space="0"/>
              <w:bottom w:val="single" w:color="auto" w:sz="4" w:space="0"/>
              <w:right w:val="single" w:color="auto" w:sz="4" w:space="0"/>
            </w:tcBorders>
            <w:noWrap/>
            <w:vAlign w:val="center"/>
          </w:tcPr>
          <w:p w14:paraId="133FB653">
            <w:pPr>
              <w:widowControl/>
              <w:spacing w:line="240" w:lineRule="atLeast"/>
              <w:ind w:left="-107" w:leftChars="-51" w:right="-107" w:rightChars="-51"/>
              <w:jc w:val="center"/>
              <w:rPr>
                <w:rFonts w:hint="eastAsia" w:hAnsi="宋体" w:cs="宋体"/>
                <w:b/>
                <w:color w:val="auto"/>
                <w:kern w:val="0"/>
                <w:szCs w:val="21"/>
                <w:highlight w:val="none"/>
              </w:rPr>
            </w:pPr>
            <w:r>
              <w:rPr>
                <w:rFonts w:hint="eastAsia" w:hAnsi="宋体" w:cs="宋体"/>
                <w:b/>
                <w:color w:val="auto"/>
                <w:kern w:val="0"/>
                <w:szCs w:val="21"/>
                <w:highlight w:val="none"/>
              </w:rPr>
              <w:t>4</w:t>
            </w:r>
          </w:p>
        </w:tc>
        <w:tc>
          <w:tcPr>
            <w:tcW w:w="666" w:type="pct"/>
            <w:tcBorders>
              <w:top w:val="nil"/>
              <w:left w:val="nil"/>
              <w:bottom w:val="single" w:color="auto" w:sz="4" w:space="0"/>
              <w:right w:val="single" w:color="auto" w:sz="4" w:space="0"/>
            </w:tcBorders>
            <w:noWrap w:val="0"/>
            <w:vAlign w:val="center"/>
          </w:tcPr>
          <w:p w14:paraId="2668A558">
            <w:pPr>
              <w:spacing w:line="240" w:lineRule="atLeast"/>
              <w:ind w:left="-27" w:leftChars="-13" w:right="-65" w:rightChars="-31"/>
              <w:jc w:val="left"/>
              <w:rPr>
                <w:rFonts w:hint="eastAsia" w:hAnsi="宋体" w:cs="宋体"/>
                <w:b/>
                <w:color w:val="auto"/>
                <w:kern w:val="0"/>
                <w:szCs w:val="21"/>
                <w:highlight w:val="none"/>
              </w:rPr>
            </w:pPr>
            <w:r>
              <w:rPr>
                <w:rFonts w:hint="eastAsia" w:hAnsi="宋体" w:cs="宋体"/>
                <w:b/>
                <w:color w:val="auto"/>
                <w:kern w:val="0"/>
                <w:szCs w:val="21"/>
                <w:highlight w:val="none"/>
              </w:rPr>
              <w:t>批发业</w:t>
            </w:r>
          </w:p>
        </w:tc>
        <w:tc>
          <w:tcPr>
            <w:tcW w:w="405" w:type="pct"/>
            <w:tcBorders>
              <w:top w:val="nil"/>
              <w:left w:val="nil"/>
              <w:bottom w:val="single" w:color="auto" w:sz="4" w:space="0"/>
              <w:right w:val="single" w:color="auto" w:sz="4" w:space="0"/>
            </w:tcBorders>
            <w:noWrap/>
            <w:vAlign w:val="center"/>
          </w:tcPr>
          <w:p w14:paraId="4D8BBDFD">
            <w:pPr>
              <w:widowControl/>
              <w:spacing w:line="240" w:lineRule="atLeast"/>
              <w:ind w:left="-107" w:leftChars="-51" w:right="-107" w:rightChars="-51"/>
              <w:jc w:val="center"/>
              <w:rPr>
                <w:rFonts w:hint="eastAsia" w:hAnsi="宋体" w:cs="宋体"/>
                <w:color w:val="auto"/>
                <w:kern w:val="0"/>
                <w:szCs w:val="21"/>
                <w:highlight w:val="none"/>
              </w:rPr>
            </w:pPr>
            <w:r>
              <w:rPr>
                <w:rFonts w:hint="eastAsia" w:hAnsi="宋体" w:cs="宋体"/>
                <w:color w:val="auto"/>
                <w:kern w:val="0"/>
                <w:szCs w:val="21"/>
                <w:highlight w:val="none"/>
              </w:rPr>
              <w:t>≥40000</w:t>
            </w:r>
          </w:p>
        </w:tc>
        <w:tc>
          <w:tcPr>
            <w:tcW w:w="332" w:type="pct"/>
            <w:tcBorders>
              <w:top w:val="nil"/>
              <w:left w:val="nil"/>
              <w:bottom w:val="single" w:color="auto" w:sz="4" w:space="0"/>
              <w:right w:val="single" w:color="auto" w:sz="4" w:space="0"/>
            </w:tcBorders>
            <w:noWrap/>
            <w:vAlign w:val="center"/>
          </w:tcPr>
          <w:p w14:paraId="47CBC107">
            <w:pPr>
              <w:widowControl/>
              <w:spacing w:line="240" w:lineRule="atLeast"/>
              <w:ind w:left="-107" w:leftChars="-51" w:right="-107" w:rightChars="-51"/>
              <w:jc w:val="center"/>
              <w:rPr>
                <w:rFonts w:hint="eastAsia" w:hAnsi="宋体" w:cs="宋体"/>
                <w:color w:val="auto"/>
                <w:kern w:val="0"/>
                <w:szCs w:val="21"/>
                <w:highlight w:val="none"/>
              </w:rPr>
            </w:pPr>
            <w:r>
              <w:rPr>
                <w:rFonts w:hint="eastAsia" w:hAnsi="宋体" w:cs="宋体"/>
                <w:color w:val="auto"/>
                <w:kern w:val="0"/>
                <w:szCs w:val="21"/>
                <w:highlight w:val="none"/>
              </w:rPr>
              <w:t>≥200</w:t>
            </w:r>
          </w:p>
        </w:tc>
        <w:tc>
          <w:tcPr>
            <w:tcW w:w="316" w:type="pct"/>
            <w:tcBorders>
              <w:top w:val="nil"/>
              <w:left w:val="nil"/>
              <w:bottom w:val="single" w:color="auto" w:sz="4" w:space="0"/>
              <w:right w:val="single" w:color="auto" w:sz="4" w:space="0"/>
            </w:tcBorders>
            <w:noWrap/>
            <w:vAlign w:val="center"/>
          </w:tcPr>
          <w:p w14:paraId="6AB91284">
            <w:pPr>
              <w:widowControl/>
              <w:spacing w:line="240" w:lineRule="atLeast"/>
              <w:ind w:left="-107" w:leftChars="-51" w:right="-107" w:rightChars="-51"/>
              <w:jc w:val="center"/>
              <w:rPr>
                <w:rFonts w:hint="eastAsia" w:hAnsi="宋体" w:cs="宋体"/>
                <w:color w:val="auto"/>
                <w:kern w:val="0"/>
                <w:szCs w:val="21"/>
                <w:highlight w:val="none"/>
              </w:rPr>
            </w:pPr>
            <w:r>
              <w:rPr>
                <w:rFonts w:hint="eastAsia" w:hAnsi="宋体" w:cs="宋体"/>
                <w:color w:val="auto"/>
                <w:kern w:val="0"/>
                <w:szCs w:val="21"/>
                <w:highlight w:val="none"/>
              </w:rPr>
              <w:t>　</w:t>
            </w:r>
          </w:p>
        </w:tc>
        <w:tc>
          <w:tcPr>
            <w:tcW w:w="374" w:type="pct"/>
            <w:tcBorders>
              <w:top w:val="nil"/>
              <w:left w:val="nil"/>
              <w:bottom w:val="single" w:color="auto" w:sz="4" w:space="0"/>
              <w:right w:val="single" w:color="auto" w:sz="4" w:space="0"/>
            </w:tcBorders>
            <w:noWrap/>
            <w:vAlign w:val="center"/>
          </w:tcPr>
          <w:p w14:paraId="02AB17B1">
            <w:pPr>
              <w:widowControl/>
              <w:spacing w:line="240" w:lineRule="atLeast"/>
              <w:ind w:left="-107" w:leftChars="-51" w:right="-107" w:rightChars="-51"/>
              <w:jc w:val="center"/>
              <w:rPr>
                <w:rFonts w:hint="eastAsia" w:hAnsi="宋体" w:cs="宋体"/>
                <w:color w:val="auto"/>
                <w:kern w:val="0"/>
                <w:szCs w:val="21"/>
                <w:highlight w:val="none"/>
              </w:rPr>
            </w:pPr>
            <w:r>
              <w:rPr>
                <w:rFonts w:hint="eastAsia" w:hAnsi="宋体" w:cs="宋体"/>
                <w:color w:val="auto"/>
                <w:kern w:val="0"/>
                <w:szCs w:val="21"/>
                <w:highlight w:val="none"/>
              </w:rPr>
              <w:t>≥5000</w:t>
            </w:r>
          </w:p>
        </w:tc>
        <w:tc>
          <w:tcPr>
            <w:tcW w:w="332" w:type="pct"/>
            <w:tcBorders>
              <w:top w:val="nil"/>
              <w:left w:val="nil"/>
              <w:bottom w:val="single" w:color="auto" w:sz="4" w:space="0"/>
              <w:right w:val="single" w:color="auto" w:sz="4" w:space="0"/>
            </w:tcBorders>
            <w:noWrap/>
            <w:vAlign w:val="center"/>
          </w:tcPr>
          <w:p w14:paraId="00EEF9AF">
            <w:pPr>
              <w:widowControl/>
              <w:spacing w:line="240" w:lineRule="atLeast"/>
              <w:ind w:left="-107" w:leftChars="-51" w:right="-107" w:rightChars="-51"/>
              <w:jc w:val="center"/>
              <w:rPr>
                <w:rFonts w:hint="eastAsia" w:hAnsi="宋体" w:cs="宋体"/>
                <w:color w:val="auto"/>
                <w:kern w:val="0"/>
                <w:szCs w:val="21"/>
                <w:highlight w:val="none"/>
              </w:rPr>
            </w:pPr>
            <w:r>
              <w:rPr>
                <w:rFonts w:hint="eastAsia" w:hAnsi="宋体" w:cs="宋体"/>
                <w:color w:val="auto"/>
                <w:kern w:val="0"/>
                <w:szCs w:val="21"/>
                <w:highlight w:val="none"/>
              </w:rPr>
              <w:t>≥20</w:t>
            </w:r>
          </w:p>
        </w:tc>
        <w:tc>
          <w:tcPr>
            <w:tcW w:w="336" w:type="pct"/>
            <w:tcBorders>
              <w:top w:val="nil"/>
              <w:left w:val="nil"/>
              <w:bottom w:val="single" w:color="auto" w:sz="4" w:space="0"/>
              <w:right w:val="single" w:color="auto" w:sz="4" w:space="0"/>
            </w:tcBorders>
            <w:noWrap/>
            <w:vAlign w:val="center"/>
          </w:tcPr>
          <w:p w14:paraId="120EDF1E">
            <w:pPr>
              <w:widowControl/>
              <w:spacing w:line="240" w:lineRule="atLeast"/>
              <w:jc w:val="center"/>
              <w:rPr>
                <w:rFonts w:hint="eastAsia" w:hAnsi="宋体" w:cs="宋体"/>
                <w:color w:val="auto"/>
                <w:kern w:val="0"/>
                <w:szCs w:val="21"/>
                <w:highlight w:val="none"/>
              </w:rPr>
            </w:pPr>
            <w:r>
              <w:rPr>
                <w:rFonts w:hint="eastAsia" w:hAnsi="宋体" w:cs="宋体"/>
                <w:color w:val="auto"/>
                <w:kern w:val="0"/>
                <w:szCs w:val="21"/>
                <w:highlight w:val="none"/>
              </w:rPr>
              <w:t>　</w:t>
            </w:r>
          </w:p>
        </w:tc>
        <w:tc>
          <w:tcPr>
            <w:tcW w:w="374" w:type="pct"/>
            <w:tcBorders>
              <w:top w:val="nil"/>
              <w:left w:val="nil"/>
              <w:bottom w:val="single" w:color="auto" w:sz="4" w:space="0"/>
              <w:right w:val="single" w:color="auto" w:sz="4" w:space="0"/>
            </w:tcBorders>
            <w:noWrap/>
            <w:vAlign w:val="center"/>
          </w:tcPr>
          <w:p w14:paraId="492031BC">
            <w:pPr>
              <w:widowControl/>
              <w:spacing w:line="240" w:lineRule="atLeast"/>
              <w:jc w:val="center"/>
              <w:rPr>
                <w:rFonts w:hint="eastAsia" w:hAnsi="宋体" w:cs="宋体"/>
                <w:color w:val="auto"/>
                <w:kern w:val="0"/>
                <w:szCs w:val="21"/>
                <w:highlight w:val="none"/>
              </w:rPr>
            </w:pPr>
            <w:r>
              <w:rPr>
                <w:rFonts w:hint="eastAsia" w:hAnsi="宋体" w:cs="宋体"/>
                <w:color w:val="auto"/>
                <w:kern w:val="0"/>
                <w:szCs w:val="21"/>
                <w:highlight w:val="none"/>
              </w:rPr>
              <w:t>≥1000</w:t>
            </w:r>
          </w:p>
        </w:tc>
        <w:tc>
          <w:tcPr>
            <w:tcW w:w="332" w:type="pct"/>
            <w:tcBorders>
              <w:top w:val="nil"/>
              <w:left w:val="nil"/>
              <w:bottom w:val="single" w:color="auto" w:sz="4" w:space="0"/>
              <w:right w:val="single" w:color="auto" w:sz="4" w:space="0"/>
            </w:tcBorders>
            <w:noWrap/>
            <w:vAlign w:val="center"/>
          </w:tcPr>
          <w:p w14:paraId="25984E2D">
            <w:pPr>
              <w:widowControl/>
              <w:spacing w:line="240" w:lineRule="atLeast"/>
              <w:jc w:val="center"/>
              <w:rPr>
                <w:rFonts w:hint="eastAsia" w:hAnsi="宋体" w:cs="宋体"/>
                <w:color w:val="auto"/>
                <w:kern w:val="0"/>
                <w:szCs w:val="21"/>
                <w:highlight w:val="none"/>
              </w:rPr>
            </w:pPr>
            <w:r>
              <w:rPr>
                <w:rFonts w:hint="eastAsia" w:hAnsi="宋体" w:cs="宋体"/>
                <w:color w:val="auto"/>
                <w:kern w:val="0"/>
                <w:szCs w:val="21"/>
                <w:highlight w:val="none"/>
              </w:rPr>
              <w:t>≥5</w:t>
            </w:r>
          </w:p>
        </w:tc>
        <w:tc>
          <w:tcPr>
            <w:tcW w:w="338" w:type="pct"/>
            <w:tcBorders>
              <w:top w:val="nil"/>
              <w:left w:val="nil"/>
              <w:bottom w:val="single" w:color="auto" w:sz="4" w:space="0"/>
              <w:right w:val="single" w:color="auto" w:sz="4" w:space="0"/>
            </w:tcBorders>
            <w:noWrap/>
            <w:vAlign w:val="center"/>
          </w:tcPr>
          <w:p w14:paraId="437BB718">
            <w:pPr>
              <w:widowControl/>
              <w:spacing w:line="240" w:lineRule="atLeast"/>
              <w:jc w:val="center"/>
              <w:rPr>
                <w:rFonts w:hint="eastAsia" w:hAnsi="宋体" w:cs="宋体"/>
                <w:color w:val="auto"/>
                <w:kern w:val="0"/>
                <w:szCs w:val="21"/>
                <w:highlight w:val="none"/>
              </w:rPr>
            </w:pPr>
            <w:r>
              <w:rPr>
                <w:rFonts w:hint="eastAsia" w:hAnsi="宋体" w:cs="宋体"/>
                <w:color w:val="auto"/>
                <w:kern w:val="0"/>
                <w:szCs w:val="21"/>
                <w:highlight w:val="none"/>
              </w:rPr>
              <w:t>　</w:t>
            </w:r>
          </w:p>
        </w:tc>
        <w:tc>
          <w:tcPr>
            <w:tcW w:w="374" w:type="pct"/>
            <w:tcBorders>
              <w:top w:val="nil"/>
              <w:left w:val="nil"/>
              <w:bottom w:val="single" w:color="auto" w:sz="4" w:space="0"/>
              <w:right w:val="single" w:color="auto" w:sz="4" w:space="0"/>
            </w:tcBorders>
            <w:noWrap/>
            <w:vAlign w:val="center"/>
          </w:tcPr>
          <w:p w14:paraId="1FCEC542">
            <w:pPr>
              <w:widowControl/>
              <w:spacing w:line="240" w:lineRule="atLeast"/>
              <w:jc w:val="center"/>
              <w:rPr>
                <w:rFonts w:hint="eastAsia" w:hAnsi="宋体" w:cs="宋体"/>
                <w:color w:val="auto"/>
                <w:kern w:val="0"/>
                <w:szCs w:val="21"/>
                <w:highlight w:val="none"/>
              </w:rPr>
            </w:pPr>
            <w:r>
              <w:rPr>
                <w:rFonts w:hint="eastAsia" w:hAnsi="宋体" w:cs="宋体"/>
                <w:color w:val="auto"/>
                <w:kern w:val="0"/>
                <w:szCs w:val="21"/>
                <w:highlight w:val="none"/>
              </w:rPr>
              <w:t>＜1000</w:t>
            </w:r>
          </w:p>
        </w:tc>
        <w:tc>
          <w:tcPr>
            <w:tcW w:w="332" w:type="pct"/>
            <w:tcBorders>
              <w:top w:val="nil"/>
              <w:left w:val="nil"/>
              <w:bottom w:val="single" w:color="auto" w:sz="4" w:space="0"/>
              <w:right w:val="single" w:color="auto" w:sz="4" w:space="0"/>
            </w:tcBorders>
            <w:noWrap/>
            <w:vAlign w:val="center"/>
          </w:tcPr>
          <w:p w14:paraId="4DAD8188">
            <w:pPr>
              <w:widowControl/>
              <w:spacing w:line="240" w:lineRule="atLeast"/>
              <w:jc w:val="center"/>
              <w:rPr>
                <w:rFonts w:hint="eastAsia" w:hAnsi="宋体" w:cs="宋体"/>
                <w:color w:val="auto"/>
                <w:kern w:val="0"/>
                <w:szCs w:val="21"/>
                <w:highlight w:val="none"/>
              </w:rPr>
            </w:pPr>
            <w:r>
              <w:rPr>
                <w:rFonts w:hint="eastAsia" w:hAnsi="宋体" w:cs="宋体"/>
                <w:color w:val="auto"/>
                <w:kern w:val="0"/>
                <w:szCs w:val="21"/>
                <w:highlight w:val="none"/>
              </w:rPr>
              <w:t>＜5</w:t>
            </w:r>
          </w:p>
        </w:tc>
        <w:tc>
          <w:tcPr>
            <w:tcW w:w="296" w:type="pct"/>
            <w:tcBorders>
              <w:top w:val="nil"/>
              <w:left w:val="nil"/>
              <w:bottom w:val="single" w:color="auto" w:sz="4" w:space="0"/>
              <w:right w:val="single" w:color="auto" w:sz="4" w:space="0"/>
            </w:tcBorders>
            <w:noWrap/>
            <w:vAlign w:val="center"/>
          </w:tcPr>
          <w:p w14:paraId="57734297">
            <w:pPr>
              <w:widowControl/>
              <w:spacing w:line="240" w:lineRule="atLeast"/>
              <w:jc w:val="center"/>
              <w:rPr>
                <w:rFonts w:hint="eastAsia" w:hAnsi="宋体" w:cs="宋体"/>
                <w:color w:val="auto"/>
                <w:kern w:val="0"/>
                <w:szCs w:val="21"/>
                <w:highlight w:val="none"/>
              </w:rPr>
            </w:pPr>
            <w:r>
              <w:rPr>
                <w:rFonts w:hint="eastAsia" w:hAnsi="宋体" w:cs="宋体"/>
                <w:color w:val="auto"/>
                <w:kern w:val="0"/>
                <w:szCs w:val="21"/>
                <w:highlight w:val="none"/>
              </w:rPr>
              <w:t>　</w:t>
            </w:r>
          </w:p>
        </w:tc>
      </w:tr>
      <w:tr w14:paraId="23429558">
        <w:tblPrEx>
          <w:tblCellMar>
            <w:top w:w="0" w:type="dxa"/>
            <w:left w:w="108" w:type="dxa"/>
            <w:bottom w:w="0" w:type="dxa"/>
            <w:right w:w="108" w:type="dxa"/>
          </w:tblCellMar>
        </w:tblPrEx>
        <w:trPr>
          <w:trHeight w:val="363" w:hRule="atLeast"/>
          <w:jc w:val="center"/>
        </w:trPr>
        <w:tc>
          <w:tcPr>
            <w:tcW w:w="183" w:type="pct"/>
            <w:tcBorders>
              <w:top w:val="nil"/>
              <w:left w:val="single" w:color="auto" w:sz="4" w:space="0"/>
              <w:bottom w:val="single" w:color="auto" w:sz="4" w:space="0"/>
              <w:right w:val="single" w:color="auto" w:sz="4" w:space="0"/>
            </w:tcBorders>
            <w:noWrap/>
            <w:vAlign w:val="center"/>
          </w:tcPr>
          <w:p w14:paraId="14CB3719">
            <w:pPr>
              <w:widowControl/>
              <w:spacing w:line="240" w:lineRule="atLeast"/>
              <w:ind w:left="-107" w:leftChars="-51" w:right="-107" w:rightChars="-51"/>
              <w:jc w:val="center"/>
              <w:rPr>
                <w:rFonts w:hint="eastAsia" w:hAnsi="宋体" w:cs="宋体"/>
                <w:b/>
                <w:color w:val="auto"/>
                <w:kern w:val="0"/>
                <w:szCs w:val="21"/>
                <w:highlight w:val="none"/>
              </w:rPr>
            </w:pPr>
            <w:r>
              <w:rPr>
                <w:rFonts w:hint="eastAsia" w:hAnsi="宋体" w:cs="宋体"/>
                <w:b/>
                <w:color w:val="auto"/>
                <w:kern w:val="0"/>
                <w:szCs w:val="21"/>
                <w:highlight w:val="none"/>
              </w:rPr>
              <w:t>5</w:t>
            </w:r>
          </w:p>
        </w:tc>
        <w:tc>
          <w:tcPr>
            <w:tcW w:w="666" w:type="pct"/>
            <w:tcBorders>
              <w:top w:val="nil"/>
              <w:left w:val="nil"/>
              <w:bottom w:val="single" w:color="auto" w:sz="4" w:space="0"/>
              <w:right w:val="single" w:color="auto" w:sz="4" w:space="0"/>
            </w:tcBorders>
            <w:noWrap w:val="0"/>
            <w:vAlign w:val="center"/>
          </w:tcPr>
          <w:p w14:paraId="471D46E1">
            <w:pPr>
              <w:spacing w:line="240" w:lineRule="atLeast"/>
              <w:ind w:left="-27" w:leftChars="-13" w:right="-65" w:rightChars="-31"/>
              <w:jc w:val="left"/>
              <w:rPr>
                <w:rFonts w:hint="eastAsia" w:hAnsi="宋体" w:cs="宋体"/>
                <w:b/>
                <w:color w:val="auto"/>
                <w:kern w:val="0"/>
                <w:szCs w:val="21"/>
                <w:highlight w:val="none"/>
              </w:rPr>
            </w:pPr>
            <w:r>
              <w:rPr>
                <w:rFonts w:hint="eastAsia" w:hAnsi="宋体" w:cs="宋体"/>
                <w:b/>
                <w:color w:val="auto"/>
                <w:kern w:val="0"/>
                <w:szCs w:val="21"/>
                <w:highlight w:val="none"/>
              </w:rPr>
              <w:t>零售业</w:t>
            </w:r>
          </w:p>
        </w:tc>
        <w:tc>
          <w:tcPr>
            <w:tcW w:w="405" w:type="pct"/>
            <w:tcBorders>
              <w:top w:val="nil"/>
              <w:left w:val="nil"/>
              <w:bottom w:val="single" w:color="auto" w:sz="4" w:space="0"/>
              <w:right w:val="single" w:color="auto" w:sz="4" w:space="0"/>
            </w:tcBorders>
            <w:noWrap/>
            <w:vAlign w:val="center"/>
          </w:tcPr>
          <w:p w14:paraId="322C16BF">
            <w:pPr>
              <w:widowControl/>
              <w:spacing w:line="240" w:lineRule="atLeast"/>
              <w:ind w:left="-107" w:leftChars="-51" w:right="-107" w:rightChars="-51"/>
              <w:jc w:val="center"/>
              <w:rPr>
                <w:rFonts w:hint="eastAsia" w:hAnsi="宋体" w:cs="宋体"/>
                <w:color w:val="auto"/>
                <w:kern w:val="0"/>
                <w:szCs w:val="21"/>
                <w:highlight w:val="none"/>
              </w:rPr>
            </w:pPr>
            <w:r>
              <w:rPr>
                <w:rFonts w:hint="eastAsia" w:hAnsi="宋体" w:cs="宋体"/>
                <w:color w:val="auto"/>
                <w:kern w:val="0"/>
                <w:szCs w:val="21"/>
                <w:highlight w:val="none"/>
              </w:rPr>
              <w:t>≥20000</w:t>
            </w:r>
          </w:p>
        </w:tc>
        <w:tc>
          <w:tcPr>
            <w:tcW w:w="332" w:type="pct"/>
            <w:tcBorders>
              <w:top w:val="nil"/>
              <w:left w:val="nil"/>
              <w:bottom w:val="single" w:color="auto" w:sz="4" w:space="0"/>
              <w:right w:val="single" w:color="auto" w:sz="4" w:space="0"/>
            </w:tcBorders>
            <w:noWrap/>
            <w:vAlign w:val="center"/>
          </w:tcPr>
          <w:p w14:paraId="5E81B1B2">
            <w:pPr>
              <w:widowControl/>
              <w:spacing w:line="240" w:lineRule="atLeast"/>
              <w:ind w:left="-107" w:leftChars="-51" w:right="-107" w:rightChars="-51"/>
              <w:jc w:val="center"/>
              <w:rPr>
                <w:rFonts w:hint="eastAsia" w:hAnsi="宋体" w:cs="宋体"/>
                <w:color w:val="auto"/>
                <w:kern w:val="0"/>
                <w:szCs w:val="21"/>
                <w:highlight w:val="none"/>
              </w:rPr>
            </w:pPr>
            <w:r>
              <w:rPr>
                <w:rFonts w:hint="eastAsia" w:hAnsi="宋体" w:cs="宋体"/>
                <w:color w:val="auto"/>
                <w:kern w:val="0"/>
                <w:szCs w:val="21"/>
                <w:highlight w:val="none"/>
              </w:rPr>
              <w:t>≥300</w:t>
            </w:r>
          </w:p>
        </w:tc>
        <w:tc>
          <w:tcPr>
            <w:tcW w:w="316" w:type="pct"/>
            <w:tcBorders>
              <w:top w:val="nil"/>
              <w:left w:val="nil"/>
              <w:bottom w:val="single" w:color="auto" w:sz="4" w:space="0"/>
              <w:right w:val="single" w:color="auto" w:sz="4" w:space="0"/>
            </w:tcBorders>
            <w:noWrap/>
            <w:vAlign w:val="center"/>
          </w:tcPr>
          <w:p w14:paraId="58CDA03D">
            <w:pPr>
              <w:widowControl/>
              <w:spacing w:line="240" w:lineRule="atLeast"/>
              <w:ind w:left="-107" w:leftChars="-51" w:right="-107" w:rightChars="-51"/>
              <w:jc w:val="center"/>
              <w:rPr>
                <w:rFonts w:hint="eastAsia" w:hAnsi="宋体" w:cs="宋体"/>
                <w:color w:val="auto"/>
                <w:kern w:val="0"/>
                <w:szCs w:val="21"/>
                <w:highlight w:val="none"/>
              </w:rPr>
            </w:pPr>
            <w:r>
              <w:rPr>
                <w:rFonts w:hint="eastAsia" w:hAnsi="宋体" w:cs="宋体"/>
                <w:color w:val="auto"/>
                <w:kern w:val="0"/>
                <w:szCs w:val="21"/>
                <w:highlight w:val="none"/>
              </w:rPr>
              <w:t>　</w:t>
            </w:r>
          </w:p>
        </w:tc>
        <w:tc>
          <w:tcPr>
            <w:tcW w:w="374" w:type="pct"/>
            <w:tcBorders>
              <w:top w:val="nil"/>
              <w:left w:val="nil"/>
              <w:bottom w:val="single" w:color="auto" w:sz="4" w:space="0"/>
              <w:right w:val="single" w:color="auto" w:sz="4" w:space="0"/>
            </w:tcBorders>
            <w:noWrap/>
            <w:vAlign w:val="center"/>
          </w:tcPr>
          <w:p w14:paraId="73021987">
            <w:pPr>
              <w:widowControl/>
              <w:spacing w:line="240" w:lineRule="atLeast"/>
              <w:ind w:left="-107" w:leftChars="-51" w:right="-107" w:rightChars="-51"/>
              <w:jc w:val="center"/>
              <w:rPr>
                <w:rFonts w:hint="eastAsia" w:hAnsi="宋体" w:cs="宋体"/>
                <w:color w:val="auto"/>
                <w:kern w:val="0"/>
                <w:szCs w:val="21"/>
                <w:highlight w:val="none"/>
              </w:rPr>
            </w:pPr>
            <w:r>
              <w:rPr>
                <w:rFonts w:hint="eastAsia" w:hAnsi="宋体" w:cs="宋体"/>
                <w:color w:val="auto"/>
                <w:kern w:val="0"/>
                <w:szCs w:val="21"/>
                <w:highlight w:val="none"/>
              </w:rPr>
              <w:t>≥500</w:t>
            </w:r>
          </w:p>
        </w:tc>
        <w:tc>
          <w:tcPr>
            <w:tcW w:w="332" w:type="pct"/>
            <w:tcBorders>
              <w:top w:val="nil"/>
              <w:left w:val="nil"/>
              <w:bottom w:val="single" w:color="auto" w:sz="4" w:space="0"/>
              <w:right w:val="single" w:color="auto" w:sz="4" w:space="0"/>
            </w:tcBorders>
            <w:noWrap/>
            <w:vAlign w:val="center"/>
          </w:tcPr>
          <w:p w14:paraId="4E74EDA7">
            <w:pPr>
              <w:widowControl/>
              <w:spacing w:line="240" w:lineRule="atLeast"/>
              <w:ind w:left="-107" w:leftChars="-51" w:right="-107" w:rightChars="-51"/>
              <w:jc w:val="center"/>
              <w:rPr>
                <w:rFonts w:hint="eastAsia" w:hAnsi="宋体" w:cs="宋体"/>
                <w:color w:val="auto"/>
                <w:kern w:val="0"/>
                <w:szCs w:val="21"/>
                <w:highlight w:val="none"/>
              </w:rPr>
            </w:pPr>
            <w:r>
              <w:rPr>
                <w:rFonts w:hint="eastAsia" w:hAnsi="宋体" w:cs="宋体"/>
                <w:color w:val="auto"/>
                <w:kern w:val="0"/>
                <w:szCs w:val="21"/>
                <w:highlight w:val="none"/>
              </w:rPr>
              <w:t>≥50</w:t>
            </w:r>
          </w:p>
        </w:tc>
        <w:tc>
          <w:tcPr>
            <w:tcW w:w="336" w:type="pct"/>
            <w:tcBorders>
              <w:top w:val="nil"/>
              <w:left w:val="nil"/>
              <w:bottom w:val="single" w:color="auto" w:sz="4" w:space="0"/>
              <w:right w:val="single" w:color="auto" w:sz="4" w:space="0"/>
            </w:tcBorders>
            <w:noWrap/>
            <w:vAlign w:val="center"/>
          </w:tcPr>
          <w:p w14:paraId="036B2F32">
            <w:pPr>
              <w:widowControl/>
              <w:spacing w:line="240" w:lineRule="atLeast"/>
              <w:jc w:val="center"/>
              <w:rPr>
                <w:rFonts w:hint="eastAsia" w:hAnsi="宋体" w:cs="宋体"/>
                <w:color w:val="auto"/>
                <w:kern w:val="0"/>
                <w:szCs w:val="21"/>
                <w:highlight w:val="none"/>
              </w:rPr>
            </w:pPr>
            <w:r>
              <w:rPr>
                <w:rFonts w:hint="eastAsia" w:hAnsi="宋体" w:cs="宋体"/>
                <w:color w:val="auto"/>
                <w:kern w:val="0"/>
                <w:szCs w:val="21"/>
                <w:highlight w:val="none"/>
              </w:rPr>
              <w:t>　</w:t>
            </w:r>
          </w:p>
        </w:tc>
        <w:tc>
          <w:tcPr>
            <w:tcW w:w="374" w:type="pct"/>
            <w:tcBorders>
              <w:top w:val="nil"/>
              <w:left w:val="nil"/>
              <w:bottom w:val="single" w:color="auto" w:sz="4" w:space="0"/>
              <w:right w:val="single" w:color="auto" w:sz="4" w:space="0"/>
            </w:tcBorders>
            <w:noWrap/>
            <w:vAlign w:val="center"/>
          </w:tcPr>
          <w:p w14:paraId="6CFEACB3">
            <w:pPr>
              <w:widowControl/>
              <w:spacing w:line="240" w:lineRule="atLeast"/>
              <w:jc w:val="center"/>
              <w:rPr>
                <w:rFonts w:hint="eastAsia" w:hAnsi="宋体" w:cs="宋体"/>
                <w:color w:val="auto"/>
                <w:kern w:val="0"/>
                <w:szCs w:val="21"/>
                <w:highlight w:val="none"/>
              </w:rPr>
            </w:pPr>
            <w:r>
              <w:rPr>
                <w:rFonts w:hint="eastAsia" w:hAnsi="宋体" w:cs="宋体"/>
                <w:color w:val="auto"/>
                <w:kern w:val="0"/>
                <w:szCs w:val="21"/>
                <w:highlight w:val="none"/>
              </w:rPr>
              <w:t>≥100</w:t>
            </w:r>
          </w:p>
        </w:tc>
        <w:tc>
          <w:tcPr>
            <w:tcW w:w="332" w:type="pct"/>
            <w:tcBorders>
              <w:top w:val="nil"/>
              <w:left w:val="nil"/>
              <w:bottom w:val="single" w:color="auto" w:sz="4" w:space="0"/>
              <w:right w:val="single" w:color="auto" w:sz="4" w:space="0"/>
            </w:tcBorders>
            <w:noWrap/>
            <w:vAlign w:val="center"/>
          </w:tcPr>
          <w:p w14:paraId="4F5CD30A">
            <w:pPr>
              <w:widowControl/>
              <w:spacing w:line="240" w:lineRule="atLeast"/>
              <w:jc w:val="center"/>
              <w:rPr>
                <w:rFonts w:hint="eastAsia" w:hAnsi="宋体" w:cs="宋体"/>
                <w:color w:val="auto"/>
                <w:kern w:val="0"/>
                <w:szCs w:val="21"/>
                <w:highlight w:val="none"/>
              </w:rPr>
            </w:pPr>
            <w:r>
              <w:rPr>
                <w:rFonts w:hint="eastAsia" w:hAnsi="宋体" w:cs="宋体"/>
                <w:color w:val="auto"/>
                <w:kern w:val="0"/>
                <w:szCs w:val="21"/>
                <w:highlight w:val="none"/>
              </w:rPr>
              <w:t>≥10</w:t>
            </w:r>
          </w:p>
        </w:tc>
        <w:tc>
          <w:tcPr>
            <w:tcW w:w="338" w:type="pct"/>
            <w:tcBorders>
              <w:top w:val="nil"/>
              <w:left w:val="nil"/>
              <w:bottom w:val="single" w:color="auto" w:sz="4" w:space="0"/>
              <w:right w:val="single" w:color="auto" w:sz="4" w:space="0"/>
            </w:tcBorders>
            <w:noWrap/>
            <w:vAlign w:val="center"/>
          </w:tcPr>
          <w:p w14:paraId="6FB0BC32">
            <w:pPr>
              <w:widowControl/>
              <w:spacing w:line="240" w:lineRule="atLeast"/>
              <w:jc w:val="center"/>
              <w:rPr>
                <w:rFonts w:hint="eastAsia" w:hAnsi="宋体" w:cs="宋体"/>
                <w:color w:val="auto"/>
                <w:kern w:val="0"/>
                <w:szCs w:val="21"/>
                <w:highlight w:val="none"/>
              </w:rPr>
            </w:pPr>
            <w:r>
              <w:rPr>
                <w:rFonts w:hint="eastAsia" w:hAnsi="宋体" w:cs="宋体"/>
                <w:color w:val="auto"/>
                <w:kern w:val="0"/>
                <w:szCs w:val="21"/>
                <w:highlight w:val="none"/>
              </w:rPr>
              <w:t>　</w:t>
            </w:r>
          </w:p>
        </w:tc>
        <w:tc>
          <w:tcPr>
            <w:tcW w:w="374" w:type="pct"/>
            <w:tcBorders>
              <w:top w:val="nil"/>
              <w:left w:val="nil"/>
              <w:bottom w:val="single" w:color="auto" w:sz="4" w:space="0"/>
              <w:right w:val="single" w:color="auto" w:sz="4" w:space="0"/>
            </w:tcBorders>
            <w:noWrap/>
            <w:vAlign w:val="center"/>
          </w:tcPr>
          <w:p w14:paraId="05226A88">
            <w:pPr>
              <w:widowControl/>
              <w:spacing w:line="240" w:lineRule="atLeast"/>
              <w:jc w:val="center"/>
              <w:rPr>
                <w:rFonts w:hint="eastAsia" w:hAnsi="宋体" w:cs="宋体"/>
                <w:color w:val="auto"/>
                <w:kern w:val="0"/>
                <w:szCs w:val="21"/>
                <w:highlight w:val="none"/>
              </w:rPr>
            </w:pPr>
            <w:r>
              <w:rPr>
                <w:rFonts w:hint="eastAsia" w:hAnsi="宋体" w:cs="宋体"/>
                <w:color w:val="auto"/>
                <w:kern w:val="0"/>
                <w:szCs w:val="21"/>
                <w:highlight w:val="none"/>
              </w:rPr>
              <w:t>＜100</w:t>
            </w:r>
          </w:p>
        </w:tc>
        <w:tc>
          <w:tcPr>
            <w:tcW w:w="332" w:type="pct"/>
            <w:tcBorders>
              <w:top w:val="nil"/>
              <w:left w:val="nil"/>
              <w:bottom w:val="single" w:color="auto" w:sz="4" w:space="0"/>
              <w:right w:val="single" w:color="auto" w:sz="4" w:space="0"/>
            </w:tcBorders>
            <w:noWrap/>
            <w:vAlign w:val="center"/>
          </w:tcPr>
          <w:p w14:paraId="0C3F6985">
            <w:pPr>
              <w:widowControl/>
              <w:spacing w:line="240" w:lineRule="atLeast"/>
              <w:jc w:val="center"/>
              <w:rPr>
                <w:rFonts w:hint="eastAsia" w:hAnsi="宋体" w:cs="宋体"/>
                <w:color w:val="auto"/>
                <w:kern w:val="0"/>
                <w:szCs w:val="21"/>
                <w:highlight w:val="none"/>
              </w:rPr>
            </w:pPr>
            <w:r>
              <w:rPr>
                <w:rFonts w:hint="eastAsia" w:hAnsi="宋体" w:cs="宋体"/>
                <w:color w:val="auto"/>
                <w:kern w:val="0"/>
                <w:szCs w:val="21"/>
                <w:highlight w:val="none"/>
              </w:rPr>
              <w:t>＜10</w:t>
            </w:r>
          </w:p>
        </w:tc>
        <w:tc>
          <w:tcPr>
            <w:tcW w:w="296" w:type="pct"/>
            <w:tcBorders>
              <w:top w:val="nil"/>
              <w:left w:val="nil"/>
              <w:bottom w:val="single" w:color="auto" w:sz="4" w:space="0"/>
              <w:right w:val="single" w:color="auto" w:sz="4" w:space="0"/>
            </w:tcBorders>
            <w:noWrap/>
            <w:vAlign w:val="center"/>
          </w:tcPr>
          <w:p w14:paraId="796E739F">
            <w:pPr>
              <w:widowControl/>
              <w:spacing w:line="240" w:lineRule="atLeast"/>
              <w:jc w:val="center"/>
              <w:rPr>
                <w:rFonts w:hint="eastAsia" w:hAnsi="宋体" w:cs="宋体"/>
                <w:color w:val="auto"/>
                <w:kern w:val="0"/>
                <w:szCs w:val="21"/>
                <w:highlight w:val="none"/>
              </w:rPr>
            </w:pPr>
            <w:r>
              <w:rPr>
                <w:rFonts w:hint="eastAsia" w:hAnsi="宋体" w:cs="宋体"/>
                <w:color w:val="auto"/>
                <w:kern w:val="0"/>
                <w:szCs w:val="21"/>
                <w:highlight w:val="none"/>
              </w:rPr>
              <w:t>　</w:t>
            </w:r>
          </w:p>
        </w:tc>
      </w:tr>
      <w:tr w14:paraId="49B23FE3">
        <w:tblPrEx>
          <w:tblCellMar>
            <w:top w:w="0" w:type="dxa"/>
            <w:left w:w="108" w:type="dxa"/>
            <w:bottom w:w="0" w:type="dxa"/>
            <w:right w:w="108" w:type="dxa"/>
          </w:tblCellMar>
        </w:tblPrEx>
        <w:trPr>
          <w:trHeight w:val="363" w:hRule="atLeast"/>
          <w:jc w:val="center"/>
        </w:trPr>
        <w:tc>
          <w:tcPr>
            <w:tcW w:w="183" w:type="pct"/>
            <w:tcBorders>
              <w:top w:val="nil"/>
              <w:left w:val="single" w:color="auto" w:sz="4" w:space="0"/>
              <w:bottom w:val="single" w:color="auto" w:sz="4" w:space="0"/>
              <w:right w:val="single" w:color="auto" w:sz="4" w:space="0"/>
            </w:tcBorders>
            <w:noWrap/>
            <w:vAlign w:val="center"/>
          </w:tcPr>
          <w:p w14:paraId="1E824209">
            <w:pPr>
              <w:widowControl/>
              <w:spacing w:line="240" w:lineRule="atLeast"/>
              <w:ind w:left="-107" w:leftChars="-51" w:right="-107" w:rightChars="-51"/>
              <w:jc w:val="center"/>
              <w:rPr>
                <w:rFonts w:hint="eastAsia" w:hAnsi="宋体" w:cs="宋体"/>
                <w:b/>
                <w:color w:val="auto"/>
                <w:kern w:val="0"/>
                <w:szCs w:val="21"/>
                <w:highlight w:val="none"/>
              </w:rPr>
            </w:pPr>
            <w:r>
              <w:rPr>
                <w:rFonts w:hint="eastAsia" w:hAnsi="宋体" w:cs="宋体"/>
                <w:b/>
                <w:color w:val="auto"/>
                <w:kern w:val="0"/>
                <w:szCs w:val="21"/>
                <w:highlight w:val="none"/>
              </w:rPr>
              <w:t>6</w:t>
            </w:r>
          </w:p>
        </w:tc>
        <w:tc>
          <w:tcPr>
            <w:tcW w:w="666" w:type="pct"/>
            <w:tcBorders>
              <w:top w:val="nil"/>
              <w:left w:val="nil"/>
              <w:bottom w:val="single" w:color="auto" w:sz="4" w:space="0"/>
              <w:right w:val="single" w:color="auto" w:sz="4" w:space="0"/>
            </w:tcBorders>
            <w:noWrap w:val="0"/>
            <w:vAlign w:val="center"/>
          </w:tcPr>
          <w:p w14:paraId="2A44E986">
            <w:pPr>
              <w:spacing w:line="240" w:lineRule="atLeast"/>
              <w:ind w:left="-27" w:leftChars="-13" w:right="-65" w:rightChars="-31"/>
              <w:jc w:val="left"/>
              <w:rPr>
                <w:rFonts w:hint="eastAsia" w:hAnsi="宋体" w:cs="宋体"/>
                <w:b/>
                <w:color w:val="auto"/>
                <w:kern w:val="0"/>
                <w:szCs w:val="21"/>
                <w:highlight w:val="none"/>
              </w:rPr>
            </w:pPr>
            <w:r>
              <w:rPr>
                <w:rFonts w:hint="eastAsia" w:hAnsi="宋体" w:cs="宋体"/>
                <w:b/>
                <w:color w:val="auto"/>
                <w:kern w:val="0"/>
                <w:szCs w:val="21"/>
                <w:highlight w:val="none"/>
              </w:rPr>
              <w:t>交通运输业</w:t>
            </w:r>
          </w:p>
        </w:tc>
        <w:tc>
          <w:tcPr>
            <w:tcW w:w="405" w:type="pct"/>
            <w:tcBorders>
              <w:top w:val="nil"/>
              <w:left w:val="nil"/>
              <w:bottom w:val="single" w:color="auto" w:sz="4" w:space="0"/>
              <w:right w:val="single" w:color="auto" w:sz="4" w:space="0"/>
            </w:tcBorders>
            <w:noWrap/>
            <w:vAlign w:val="center"/>
          </w:tcPr>
          <w:p w14:paraId="41B9C17F">
            <w:pPr>
              <w:widowControl/>
              <w:spacing w:line="240" w:lineRule="atLeast"/>
              <w:ind w:left="-107" w:leftChars="-51" w:right="-107" w:rightChars="-51"/>
              <w:jc w:val="center"/>
              <w:rPr>
                <w:rFonts w:hint="eastAsia" w:hAnsi="宋体" w:cs="宋体"/>
                <w:color w:val="auto"/>
                <w:kern w:val="0"/>
                <w:szCs w:val="21"/>
                <w:highlight w:val="none"/>
              </w:rPr>
            </w:pPr>
            <w:r>
              <w:rPr>
                <w:rFonts w:hint="eastAsia" w:hAnsi="宋体" w:cs="宋体"/>
                <w:color w:val="auto"/>
                <w:kern w:val="0"/>
                <w:szCs w:val="21"/>
                <w:highlight w:val="none"/>
              </w:rPr>
              <w:t>≥30000</w:t>
            </w:r>
          </w:p>
        </w:tc>
        <w:tc>
          <w:tcPr>
            <w:tcW w:w="332" w:type="pct"/>
            <w:tcBorders>
              <w:top w:val="nil"/>
              <w:left w:val="nil"/>
              <w:bottom w:val="single" w:color="auto" w:sz="4" w:space="0"/>
              <w:right w:val="single" w:color="auto" w:sz="4" w:space="0"/>
            </w:tcBorders>
            <w:noWrap/>
            <w:vAlign w:val="center"/>
          </w:tcPr>
          <w:p w14:paraId="08B79CF5">
            <w:pPr>
              <w:widowControl/>
              <w:spacing w:line="240" w:lineRule="atLeast"/>
              <w:ind w:left="-107" w:leftChars="-51" w:right="-107" w:rightChars="-51"/>
              <w:jc w:val="center"/>
              <w:rPr>
                <w:rFonts w:hint="eastAsia" w:hAnsi="宋体" w:cs="宋体"/>
                <w:color w:val="auto"/>
                <w:kern w:val="0"/>
                <w:szCs w:val="21"/>
                <w:highlight w:val="none"/>
              </w:rPr>
            </w:pPr>
            <w:r>
              <w:rPr>
                <w:rFonts w:hint="eastAsia" w:hAnsi="宋体" w:cs="宋体"/>
                <w:color w:val="auto"/>
                <w:kern w:val="0"/>
                <w:szCs w:val="21"/>
                <w:highlight w:val="none"/>
              </w:rPr>
              <w:t>≥1000</w:t>
            </w:r>
          </w:p>
        </w:tc>
        <w:tc>
          <w:tcPr>
            <w:tcW w:w="316" w:type="pct"/>
            <w:tcBorders>
              <w:top w:val="nil"/>
              <w:left w:val="nil"/>
              <w:bottom w:val="single" w:color="auto" w:sz="4" w:space="0"/>
              <w:right w:val="single" w:color="auto" w:sz="4" w:space="0"/>
            </w:tcBorders>
            <w:noWrap/>
            <w:vAlign w:val="center"/>
          </w:tcPr>
          <w:p w14:paraId="28969261">
            <w:pPr>
              <w:widowControl/>
              <w:spacing w:line="240" w:lineRule="atLeast"/>
              <w:ind w:left="-107" w:leftChars="-51" w:right="-107" w:rightChars="-51"/>
              <w:jc w:val="center"/>
              <w:rPr>
                <w:rFonts w:hint="eastAsia" w:hAnsi="宋体" w:cs="宋体"/>
                <w:color w:val="auto"/>
                <w:kern w:val="0"/>
                <w:szCs w:val="21"/>
                <w:highlight w:val="none"/>
              </w:rPr>
            </w:pPr>
            <w:r>
              <w:rPr>
                <w:rFonts w:hint="eastAsia" w:hAnsi="宋体" w:cs="宋体"/>
                <w:color w:val="auto"/>
                <w:kern w:val="0"/>
                <w:szCs w:val="21"/>
                <w:highlight w:val="none"/>
              </w:rPr>
              <w:t>　</w:t>
            </w:r>
          </w:p>
        </w:tc>
        <w:tc>
          <w:tcPr>
            <w:tcW w:w="374" w:type="pct"/>
            <w:tcBorders>
              <w:top w:val="nil"/>
              <w:left w:val="nil"/>
              <w:bottom w:val="single" w:color="auto" w:sz="4" w:space="0"/>
              <w:right w:val="single" w:color="auto" w:sz="4" w:space="0"/>
            </w:tcBorders>
            <w:noWrap/>
            <w:vAlign w:val="center"/>
          </w:tcPr>
          <w:p w14:paraId="18268438">
            <w:pPr>
              <w:widowControl/>
              <w:spacing w:line="240" w:lineRule="atLeast"/>
              <w:ind w:left="-107" w:leftChars="-51" w:right="-107" w:rightChars="-51"/>
              <w:jc w:val="center"/>
              <w:rPr>
                <w:rFonts w:hint="eastAsia" w:hAnsi="宋体" w:cs="宋体"/>
                <w:color w:val="auto"/>
                <w:kern w:val="0"/>
                <w:szCs w:val="21"/>
                <w:highlight w:val="none"/>
              </w:rPr>
            </w:pPr>
            <w:r>
              <w:rPr>
                <w:rFonts w:hint="eastAsia" w:hAnsi="宋体" w:cs="宋体"/>
                <w:color w:val="auto"/>
                <w:kern w:val="0"/>
                <w:szCs w:val="21"/>
                <w:highlight w:val="none"/>
              </w:rPr>
              <w:t>≥3000</w:t>
            </w:r>
          </w:p>
        </w:tc>
        <w:tc>
          <w:tcPr>
            <w:tcW w:w="332" w:type="pct"/>
            <w:tcBorders>
              <w:top w:val="nil"/>
              <w:left w:val="nil"/>
              <w:bottom w:val="single" w:color="auto" w:sz="4" w:space="0"/>
              <w:right w:val="single" w:color="auto" w:sz="4" w:space="0"/>
            </w:tcBorders>
            <w:noWrap/>
            <w:vAlign w:val="center"/>
          </w:tcPr>
          <w:p w14:paraId="1E0C2472">
            <w:pPr>
              <w:widowControl/>
              <w:spacing w:line="240" w:lineRule="atLeast"/>
              <w:ind w:left="-107" w:leftChars="-51" w:right="-107" w:rightChars="-51"/>
              <w:jc w:val="center"/>
              <w:rPr>
                <w:rFonts w:hint="eastAsia" w:hAnsi="宋体" w:cs="宋体"/>
                <w:color w:val="auto"/>
                <w:kern w:val="0"/>
                <w:szCs w:val="21"/>
                <w:highlight w:val="none"/>
              </w:rPr>
            </w:pPr>
            <w:r>
              <w:rPr>
                <w:rFonts w:hint="eastAsia" w:hAnsi="宋体" w:cs="宋体"/>
                <w:color w:val="auto"/>
                <w:kern w:val="0"/>
                <w:szCs w:val="21"/>
                <w:highlight w:val="none"/>
              </w:rPr>
              <w:t>≥300</w:t>
            </w:r>
          </w:p>
        </w:tc>
        <w:tc>
          <w:tcPr>
            <w:tcW w:w="336" w:type="pct"/>
            <w:tcBorders>
              <w:top w:val="nil"/>
              <w:left w:val="nil"/>
              <w:bottom w:val="single" w:color="auto" w:sz="4" w:space="0"/>
              <w:right w:val="single" w:color="auto" w:sz="4" w:space="0"/>
            </w:tcBorders>
            <w:noWrap/>
            <w:vAlign w:val="center"/>
          </w:tcPr>
          <w:p w14:paraId="14740C7E">
            <w:pPr>
              <w:widowControl/>
              <w:spacing w:line="240" w:lineRule="atLeast"/>
              <w:jc w:val="center"/>
              <w:rPr>
                <w:rFonts w:hint="eastAsia" w:hAnsi="宋体" w:cs="宋体"/>
                <w:color w:val="auto"/>
                <w:kern w:val="0"/>
                <w:szCs w:val="21"/>
                <w:highlight w:val="none"/>
              </w:rPr>
            </w:pPr>
            <w:r>
              <w:rPr>
                <w:rFonts w:hint="eastAsia" w:hAnsi="宋体" w:cs="宋体"/>
                <w:color w:val="auto"/>
                <w:kern w:val="0"/>
                <w:szCs w:val="21"/>
                <w:highlight w:val="none"/>
              </w:rPr>
              <w:t>　</w:t>
            </w:r>
          </w:p>
        </w:tc>
        <w:tc>
          <w:tcPr>
            <w:tcW w:w="374" w:type="pct"/>
            <w:tcBorders>
              <w:top w:val="nil"/>
              <w:left w:val="nil"/>
              <w:bottom w:val="single" w:color="auto" w:sz="4" w:space="0"/>
              <w:right w:val="single" w:color="auto" w:sz="4" w:space="0"/>
            </w:tcBorders>
            <w:noWrap/>
            <w:vAlign w:val="center"/>
          </w:tcPr>
          <w:p w14:paraId="5CCC4AE4">
            <w:pPr>
              <w:widowControl/>
              <w:spacing w:line="240" w:lineRule="atLeast"/>
              <w:jc w:val="center"/>
              <w:rPr>
                <w:rFonts w:hint="eastAsia" w:hAnsi="宋体" w:cs="宋体"/>
                <w:color w:val="auto"/>
                <w:kern w:val="0"/>
                <w:szCs w:val="21"/>
                <w:highlight w:val="none"/>
              </w:rPr>
            </w:pPr>
            <w:r>
              <w:rPr>
                <w:rFonts w:hint="eastAsia" w:hAnsi="宋体" w:cs="宋体"/>
                <w:color w:val="auto"/>
                <w:kern w:val="0"/>
                <w:szCs w:val="21"/>
                <w:highlight w:val="none"/>
              </w:rPr>
              <w:t>≥200</w:t>
            </w:r>
          </w:p>
        </w:tc>
        <w:tc>
          <w:tcPr>
            <w:tcW w:w="332" w:type="pct"/>
            <w:tcBorders>
              <w:top w:val="nil"/>
              <w:left w:val="nil"/>
              <w:bottom w:val="single" w:color="auto" w:sz="4" w:space="0"/>
              <w:right w:val="single" w:color="auto" w:sz="4" w:space="0"/>
            </w:tcBorders>
            <w:noWrap/>
            <w:vAlign w:val="center"/>
          </w:tcPr>
          <w:p w14:paraId="2AB36E1C">
            <w:pPr>
              <w:widowControl/>
              <w:spacing w:line="240" w:lineRule="atLeast"/>
              <w:jc w:val="center"/>
              <w:rPr>
                <w:rFonts w:hint="eastAsia" w:hAnsi="宋体" w:cs="宋体"/>
                <w:color w:val="auto"/>
                <w:kern w:val="0"/>
                <w:szCs w:val="21"/>
                <w:highlight w:val="none"/>
              </w:rPr>
            </w:pPr>
            <w:r>
              <w:rPr>
                <w:rFonts w:hint="eastAsia" w:hAnsi="宋体" w:cs="宋体"/>
                <w:color w:val="auto"/>
                <w:kern w:val="0"/>
                <w:szCs w:val="21"/>
                <w:highlight w:val="none"/>
              </w:rPr>
              <w:t>≥20</w:t>
            </w:r>
          </w:p>
        </w:tc>
        <w:tc>
          <w:tcPr>
            <w:tcW w:w="338" w:type="pct"/>
            <w:tcBorders>
              <w:top w:val="nil"/>
              <w:left w:val="nil"/>
              <w:bottom w:val="single" w:color="auto" w:sz="4" w:space="0"/>
              <w:right w:val="single" w:color="auto" w:sz="4" w:space="0"/>
            </w:tcBorders>
            <w:noWrap/>
            <w:vAlign w:val="center"/>
          </w:tcPr>
          <w:p w14:paraId="6610F348">
            <w:pPr>
              <w:widowControl/>
              <w:spacing w:line="240" w:lineRule="atLeast"/>
              <w:jc w:val="center"/>
              <w:rPr>
                <w:rFonts w:hint="eastAsia" w:hAnsi="宋体" w:cs="宋体"/>
                <w:color w:val="auto"/>
                <w:kern w:val="0"/>
                <w:szCs w:val="21"/>
                <w:highlight w:val="none"/>
              </w:rPr>
            </w:pPr>
            <w:r>
              <w:rPr>
                <w:rFonts w:hint="eastAsia" w:hAnsi="宋体" w:cs="宋体"/>
                <w:color w:val="auto"/>
                <w:kern w:val="0"/>
                <w:szCs w:val="21"/>
                <w:highlight w:val="none"/>
              </w:rPr>
              <w:t>　</w:t>
            </w:r>
          </w:p>
        </w:tc>
        <w:tc>
          <w:tcPr>
            <w:tcW w:w="374" w:type="pct"/>
            <w:tcBorders>
              <w:top w:val="nil"/>
              <w:left w:val="nil"/>
              <w:bottom w:val="single" w:color="auto" w:sz="4" w:space="0"/>
              <w:right w:val="single" w:color="auto" w:sz="4" w:space="0"/>
            </w:tcBorders>
            <w:noWrap/>
            <w:vAlign w:val="center"/>
          </w:tcPr>
          <w:p w14:paraId="1DE374EB">
            <w:pPr>
              <w:widowControl/>
              <w:spacing w:line="240" w:lineRule="atLeast"/>
              <w:jc w:val="center"/>
              <w:rPr>
                <w:rFonts w:hint="eastAsia" w:hAnsi="宋体" w:cs="宋体"/>
                <w:color w:val="auto"/>
                <w:kern w:val="0"/>
                <w:szCs w:val="21"/>
                <w:highlight w:val="none"/>
              </w:rPr>
            </w:pPr>
            <w:r>
              <w:rPr>
                <w:rFonts w:hint="eastAsia" w:hAnsi="宋体" w:cs="宋体"/>
                <w:color w:val="auto"/>
                <w:kern w:val="0"/>
                <w:szCs w:val="21"/>
                <w:highlight w:val="none"/>
              </w:rPr>
              <w:t>＜200</w:t>
            </w:r>
          </w:p>
        </w:tc>
        <w:tc>
          <w:tcPr>
            <w:tcW w:w="332" w:type="pct"/>
            <w:tcBorders>
              <w:top w:val="nil"/>
              <w:left w:val="nil"/>
              <w:bottom w:val="single" w:color="auto" w:sz="4" w:space="0"/>
              <w:right w:val="single" w:color="auto" w:sz="4" w:space="0"/>
            </w:tcBorders>
            <w:noWrap/>
            <w:vAlign w:val="center"/>
          </w:tcPr>
          <w:p w14:paraId="0C168E51">
            <w:pPr>
              <w:widowControl/>
              <w:spacing w:line="240" w:lineRule="atLeast"/>
              <w:jc w:val="center"/>
              <w:rPr>
                <w:rFonts w:hint="eastAsia" w:hAnsi="宋体" w:cs="宋体"/>
                <w:color w:val="auto"/>
                <w:kern w:val="0"/>
                <w:szCs w:val="21"/>
                <w:highlight w:val="none"/>
              </w:rPr>
            </w:pPr>
            <w:r>
              <w:rPr>
                <w:rFonts w:hint="eastAsia" w:hAnsi="宋体" w:cs="宋体"/>
                <w:color w:val="auto"/>
                <w:kern w:val="0"/>
                <w:szCs w:val="21"/>
                <w:highlight w:val="none"/>
              </w:rPr>
              <w:t>＜20</w:t>
            </w:r>
          </w:p>
        </w:tc>
        <w:tc>
          <w:tcPr>
            <w:tcW w:w="296" w:type="pct"/>
            <w:tcBorders>
              <w:top w:val="nil"/>
              <w:left w:val="nil"/>
              <w:bottom w:val="single" w:color="auto" w:sz="4" w:space="0"/>
              <w:right w:val="single" w:color="auto" w:sz="4" w:space="0"/>
            </w:tcBorders>
            <w:noWrap/>
            <w:vAlign w:val="center"/>
          </w:tcPr>
          <w:p w14:paraId="7B228783">
            <w:pPr>
              <w:widowControl/>
              <w:spacing w:line="240" w:lineRule="atLeast"/>
              <w:jc w:val="center"/>
              <w:rPr>
                <w:rFonts w:hint="eastAsia" w:hAnsi="宋体" w:cs="宋体"/>
                <w:color w:val="auto"/>
                <w:kern w:val="0"/>
                <w:szCs w:val="21"/>
                <w:highlight w:val="none"/>
              </w:rPr>
            </w:pPr>
            <w:r>
              <w:rPr>
                <w:rFonts w:hint="eastAsia" w:hAnsi="宋体" w:cs="宋体"/>
                <w:color w:val="auto"/>
                <w:kern w:val="0"/>
                <w:szCs w:val="21"/>
                <w:highlight w:val="none"/>
              </w:rPr>
              <w:t>　</w:t>
            </w:r>
          </w:p>
        </w:tc>
      </w:tr>
      <w:tr w14:paraId="744D599C">
        <w:tblPrEx>
          <w:tblCellMar>
            <w:top w:w="0" w:type="dxa"/>
            <w:left w:w="108" w:type="dxa"/>
            <w:bottom w:w="0" w:type="dxa"/>
            <w:right w:w="108" w:type="dxa"/>
          </w:tblCellMar>
        </w:tblPrEx>
        <w:trPr>
          <w:trHeight w:val="363" w:hRule="atLeast"/>
          <w:jc w:val="center"/>
        </w:trPr>
        <w:tc>
          <w:tcPr>
            <w:tcW w:w="183" w:type="pct"/>
            <w:tcBorders>
              <w:top w:val="nil"/>
              <w:left w:val="single" w:color="auto" w:sz="4" w:space="0"/>
              <w:bottom w:val="single" w:color="auto" w:sz="4" w:space="0"/>
              <w:right w:val="single" w:color="auto" w:sz="4" w:space="0"/>
            </w:tcBorders>
            <w:noWrap/>
            <w:vAlign w:val="center"/>
          </w:tcPr>
          <w:p w14:paraId="614D713F">
            <w:pPr>
              <w:widowControl/>
              <w:spacing w:line="240" w:lineRule="atLeast"/>
              <w:ind w:left="-107" w:leftChars="-51" w:right="-107" w:rightChars="-51"/>
              <w:jc w:val="center"/>
              <w:rPr>
                <w:rFonts w:hint="eastAsia" w:hAnsi="宋体" w:cs="宋体"/>
                <w:b/>
                <w:color w:val="auto"/>
                <w:kern w:val="0"/>
                <w:szCs w:val="21"/>
                <w:highlight w:val="none"/>
              </w:rPr>
            </w:pPr>
            <w:r>
              <w:rPr>
                <w:rFonts w:hint="eastAsia" w:hAnsi="宋体" w:cs="宋体"/>
                <w:b/>
                <w:color w:val="auto"/>
                <w:kern w:val="0"/>
                <w:szCs w:val="21"/>
                <w:highlight w:val="none"/>
              </w:rPr>
              <w:t>7</w:t>
            </w:r>
          </w:p>
        </w:tc>
        <w:tc>
          <w:tcPr>
            <w:tcW w:w="666" w:type="pct"/>
            <w:tcBorders>
              <w:top w:val="nil"/>
              <w:left w:val="nil"/>
              <w:bottom w:val="single" w:color="auto" w:sz="4" w:space="0"/>
              <w:right w:val="single" w:color="auto" w:sz="4" w:space="0"/>
            </w:tcBorders>
            <w:noWrap w:val="0"/>
            <w:vAlign w:val="center"/>
          </w:tcPr>
          <w:p w14:paraId="164DEB81">
            <w:pPr>
              <w:spacing w:line="240" w:lineRule="atLeast"/>
              <w:ind w:left="-27" w:leftChars="-13" w:right="-65" w:rightChars="-31"/>
              <w:jc w:val="left"/>
              <w:rPr>
                <w:rFonts w:hint="eastAsia" w:hAnsi="宋体" w:cs="宋体"/>
                <w:b/>
                <w:color w:val="auto"/>
                <w:kern w:val="0"/>
                <w:szCs w:val="21"/>
                <w:highlight w:val="none"/>
              </w:rPr>
            </w:pPr>
            <w:r>
              <w:rPr>
                <w:rFonts w:hint="eastAsia" w:hAnsi="宋体" w:cs="宋体"/>
                <w:b/>
                <w:color w:val="auto"/>
                <w:kern w:val="0"/>
                <w:szCs w:val="21"/>
                <w:highlight w:val="none"/>
              </w:rPr>
              <w:t>仓储业</w:t>
            </w:r>
          </w:p>
        </w:tc>
        <w:tc>
          <w:tcPr>
            <w:tcW w:w="405" w:type="pct"/>
            <w:tcBorders>
              <w:top w:val="nil"/>
              <w:left w:val="nil"/>
              <w:bottom w:val="single" w:color="auto" w:sz="4" w:space="0"/>
              <w:right w:val="single" w:color="auto" w:sz="4" w:space="0"/>
            </w:tcBorders>
            <w:noWrap/>
            <w:vAlign w:val="center"/>
          </w:tcPr>
          <w:p w14:paraId="767B9F87">
            <w:pPr>
              <w:widowControl/>
              <w:spacing w:line="240" w:lineRule="atLeast"/>
              <w:ind w:left="-107" w:leftChars="-51" w:right="-107" w:rightChars="-51"/>
              <w:jc w:val="center"/>
              <w:rPr>
                <w:rFonts w:hint="eastAsia" w:hAnsi="宋体" w:cs="宋体"/>
                <w:color w:val="auto"/>
                <w:kern w:val="0"/>
                <w:szCs w:val="21"/>
                <w:highlight w:val="none"/>
              </w:rPr>
            </w:pPr>
            <w:r>
              <w:rPr>
                <w:rFonts w:hint="eastAsia" w:hAnsi="宋体" w:cs="宋体"/>
                <w:color w:val="auto"/>
                <w:kern w:val="0"/>
                <w:szCs w:val="21"/>
                <w:highlight w:val="none"/>
              </w:rPr>
              <w:t>≥30000</w:t>
            </w:r>
          </w:p>
        </w:tc>
        <w:tc>
          <w:tcPr>
            <w:tcW w:w="332" w:type="pct"/>
            <w:tcBorders>
              <w:top w:val="nil"/>
              <w:left w:val="nil"/>
              <w:bottom w:val="single" w:color="auto" w:sz="4" w:space="0"/>
              <w:right w:val="single" w:color="auto" w:sz="4" w:space="0"/>
            </w:tcBorders>
            <w:noWrap/>
            <w:vAlign w:val="center"/>
          </w:tcPr>
          <w:p w14:paraId="56F24F26">
            <w:pPr>
              <w:widowControl/>
              <w:spacing w:line="240" w:lineRule="atLeast"/>
              <w:ind w:left="-107" w:leftChars="-51" w:right="-107" w:rightChars="-51"/>
              <w:jc w:val="center"/>
              <w:rPr>
                <w:rFonts w:hint="eastAsia" w:hAnsi="宋体" w:cs="宋体"/>
                <w:color w:val="auto"/>
                <w:kern w:val="0"/>
                <w:szCs w:val="21"/>
                <w:highlight w:val="none"/>
              </w:rPr>
            </w:pPr>
            <w:r>
              <w:rPr>
                <w:rFonts w:hint="eastAsia" w:hAnsi="宋体" w:cs="宋体"/>
                <w:color w:val="auto"/>
                <w:kern w:val="0"/>
                <w:szCs w:val="21"/>
                <w:highlight w:val="none"/>
              </w:rPr>
              <w:t>≥200</w:t>
            </w:r>
          </w:p>
        </w:tc>
        <w:tc>
          <w:tcPr>
            <w:tcW w:w="316" w:type="pct"/>
            <w:tcBorders>
              <w:top w:val="nil"/>
              <w:left w:val="nil"/>
              <w:bottom w:val="single" w:color="auto" w:sz="4" w:space="0"/>
              <w:right w:val="single" w:color="auto" w:sz="4" w:space="0"/>
            </w:tcBorders>
            <w:noWrap/>
            <w:vAlign w:val="center"/>
          </w:tcPr>
          <w:p w14:paraId="4A051143">
            <w:pPr>
              <w:widowControl/>
              <w:spacing w:line="240" w:lineRule="atLeast"/>
              <w:ind w:left="-107" w:leftChars="-51" w:right="-107" w:rightChars="-51"/>
              <w:jc w:val="center"/>
              <w:rPr>
                <w:rFonts w:hint="eastAsia" w:hAnsi="宋体" w:cs="宋体"/>
                <w:color w:val="auto"/>
                <w:kern w:val="0"/>
                <w:szCs w:val="21"/>
                <w:highlight w:val="none"/>
              </w:rPr>
            </w:pPr>
            <w:r>
              <w:rPr>
                <w:rFonts w:hint="eastAsia" w:hAnsi="宋体" w:cs="宋体"/>
                <w:color w:val="auto"/>
                <w:kern w:val="0"/>
                <w:szCs w:val="21"/>
                <w:highlight w:val="none"/>
              </w:rPr>
              <w:t>　</w:t>
            </w:r>
          </w:p>
        </w:tc>
        <w:tc>
          <w:tcPr>
            <w:tcW w:w="374" w:type="pct"/>
            <w:tcBorders>
              <w:top w:val="nil"/>
              <w:left w:val="nil"/>
              <w:bottom w:val="single" w:color="auto" w:sz="4" w:space="0"/>
              <w:right w:val="single" w:color="auto" w:sz="4" w:space="0"/>
            </w:tcBorders>
            <w:noWrap/>
            <w:vAlign w:val="center"/>
          </w:tcPr>
          <w:p w14:paraId="7033E838">
            <w:pPr>
              <w:widowControl/>
              <w:spacing w:line="240" w:lineRule="atLeast"/>
              <w:ind w:left="-107" w:leftChars="-51" w:right="-107" w:rightChars="-51"/>
              <w:jc w:val="center"/>
              <w:rPr>
                <w:rFonts w:hint="eastAsia" w:hAnsi="宋体" w:cs="宋体"/>
                <w:color w:val="auto"/>
                <w:kern w:val="0"/>
                <w:szCs w:val="21"/>
                <w:highlight w:val="none"/>
              </w:rPr>
            </w:pPr>
            <w:r>
              <w:rPr>
                <w:rFonts w:hint="eastAsia" w:hAnsi="宋体" w:cs="宋体"/>
                <w:color w:val="auto"/>
                <w:kern w:val="0"/>
                <w:szCs w:val="21"/>
                <w:highlight w:val="none"/>
              </w:rPr>
              <w:t>≥1000</w:t>
            </w:r>
          </w:p>
        </w:tc>
        <w:tc>
          <w:tcPr>
            <w:tcW w:w="332" w:type="pct"/>
            <w:tcBorders>
              <w:top w:val="nil"/>
              <w:left w:val="nil"/>
              <w:bottom w:val="single" w:color="auto" w:sz="4" w:space="0"/>
              <w:right w:val="single" w:color="auto" w:sz="4" w:space="0"/>
            </w:tcBorders>
            <w:noWrap/>
            <w:vAlign w:val="center"/>
          </w:tcPr>
          <w:p w14:paraId="75A245C9">
            <w:pPr>
              <w:widowControl/>
              <w:spacing w:line="240" w:lineRule="atLeast"/>
              <w:ind w:left="-107" w:leftChars="-51" w:right="-107" w:rightChars="-51"/>
              <w:jc w:val="center"/>
              <w:rPr>
                <w:rFonts w:hint="eastAsia" w:hAnsi="宋体" w:cs="宋体"/>
                <w:color w:val="auto"/>
                <w:kern w:val="0"/>
                <w:szCs w:val="21"/>
                <w:highlight w:val="none"/>
              </w:rPr>
            </w:pPr>
            <w:r>
              <w:rPr>
                <w:rFonts w:hint="eastAsia" w:hAnsi="宋体" w:cs="宋体"/>
                <w:color w:val="auto"/>
                <w:kern w:val="0"/>
                <w:szCs w:val="21"/>
                <w:highlight w:val="none"/>
              </w:rPr>
              <w:t>≥100</w:t>
            </w:r>
          </w:p>
        </w:tc>
        <w:tc>
          <w:tcPr>
            <w:tcW w:w="336" w:type="pct"/>
            <w:tcBorders>
              <w:top w:val="nil"/>
              <w:left w:val="nil"/>
              <w:bottom w:val="single" w:color="auto" w:sz="4" w:space="0"/>
              <w:right w:val="single" w:color="auto" w:sz="4" w:space="0"/>
            </w:tcBorders>
            <w:noWrap/>
            <w:vAlign w:val="center"/>
          </w:tcPr>
          <w:p w14:paraId="0B7A2671">
            <w:pPr>
              <w:widowControl/>
              <w:spacing w:line="240" w:lineRule="atLeast"/>
              <w:jc w:val="center"/>
              <w:rPr>
                <w:rFonts w:hint="eastAsia" w:hAnsi="宋体" w:cs="宋体"/>
                <w:color w:val="auto"/>
                <w:kern w:val="0"/>
                <w:szCs w:val="21"/>
                <w:highlight w:val="none"/>
              </w:rPr>
            </w:pPr>
            <w:r>
              <w:rPr>
                <w:rFonts w:hint="eastAsia" w:hAnsi="宋体" w:cs="宋体"/>
                <w:color w:val="auto"/>
                <w:kern w:val="0"/>
                <w:szCs w:val="21"/>
                <w:highlight w:val="none"/>
              </w:rPr>
              <w:t>　</w:t>
            </w:r>
          </w:p>
        </w:tc>
        <w:tc>
          <w:tcPr>
            <w:tcW w:w="374" w:type="pct"/>
            <w:tcBorders>
              <w:top w:val="nil"/>
              <w:left w:val="nil"/>
              <w:bottom w:val="single" w:color="auto" w:sz="4" w:space="0"/>
              <w:right w:val="single" w:color="auto" w:sz="4" w:space="0"/>
            </w:tcBorders>
            <w:noWrap/>
            <w:vAlign w:val="center"/>
          </w:tcPr>
          <w:p w14:paraId="4DA4DB1F">
            <w:pPr>
              <w:widowControl/>
              <w:spacing w:line="240" w:lineRule="atLeast"/>
              <w:jc w:val="center"/>
              <w:rPr>
                <w:rFonts w:hint="eastAsia" w:hAnsi="宋体" w:cs="宋体"/>
                <w:color w:val="auto"/>
                <w:kern w:val="0"/>
                <w:szCs w:val="21"/>
                <w:highlight w:val="none"/>
              </w:rPr>
            </w:pPr>
            <w:r>
              <w:rPr>
                <w:rFonts w:hint="eastAsia" w:hAnsi="宋体" w:cs="宋体"/>
                <w:color w:val="auto"/>
                <w:kern w:val="0"/>
                <w:szCs w:val="21"/>
                <w:highlight w:val="none"/>
              </w:rPr>
              <w:t>≥100</w:t>
            </w:r>
          </w:p>
        </w:tc>
        <w:tc>
          <w:tcPr>
            <w:tcW w:w="332" w:type="pct"/>
            <w:tcBorders>
              <w:top w:val="nil"/>
              <w:left w:val="nil"/>
              <w:bottom w:val="single" w:color="auto" w:sz="4" w:space="0"/>
              <w:right w:val="single" w:color="auto" w:sz="4" w:space="0"/>
            </w:tcBorders>
            <w:noWrap/>
            <w:vAlign w:val="center"/>
          </w:tcPr>
          <w:p w14:paraId="05824547">
            <w:pPr>
              <w:widowControl/>
              <w:spacing w:line="240" w:lineRule="atLeast"/>
              <w:jc w:val="center"/>
              <w:rPr>
                <w:rFonts w:hint="eastAsia" w:hAnsi="宋体" w:cs="宋体"/>
                <w:color w:val="auto"/>
                <w:kern w:val="0"/>
                <w:szCs w:val="21"/>
                <w:highlight w:val="none"/>
              </w:rPr>
            </w:pPr>
            <w:r>
              <w:rPr>
                <w:rFonts w:hint="eastAsia" w:hAnsi="宋体" w:cs="宋体"/>
                <w:color w:val="auto"/>
                <w:kern w:val="0"/>
                <w:szCs w:val="21"/>
                <w:highlight w:val="none"/>
              </w:rPr>
              <w:t>≥20</w:t>
            </w:r>
          </w:p>
        </w:tc>
        <w:tc>
          <w:tcPr>
            <w:tcW w:w="338" w:type="pct"/>
            <w:tcBorders>
              <w:top w:val="nil"/>
              <w:left w:val="nil"/>
              <w:bottom w:val="single" w:color="auto" w:sz="4" w:space="0"/>
              <w:right w:val="single" w:color="auto" w:sz="4" w:space="0"/>
            </w:tcBorders>
            <w:noWrap/>
            <w:vAlign w:val="center"/>
          </w:tcPr>
          <w:p w14:paraId="7E7EC221">
            <w:pPr>
              <w:widowControl/>
              <w:spacing w:line="240" w:lineRule="atLeast"/>
              <w:jc w:val="center"/>
              <w:rPr>
                <w:rFonts w:hint="eastAsia" w:hAnsi="宋体" w:cs="宋体"/>
                <w:color w:val="auto"/>
                <w:kern w:val="0"/>
                <w:szCs w:val="21"/>
                <w:highlight w:val="none"/>
              </w:rPr>
            </w:pPr>
            <w:r>
              <w:rPr>
                <w:rFonts w:hint="eastAsia" w:hAnsi="宋体" w:cs="宋体"/>
                <w:color w:val="auto"/>
                <w:kern w:val="0"/>
                <w:szCs w:val="21"/>
                <w:highlight w:val="none"/>
              </w:rPr>
              <w:t>　</w:t>
            </w:r>
          </w:p>
        </w:tc>
        <w:tc>
          <w:tcPr>
            <w:tcW w:w="374" w:type="pct"/>
            <w:tcBorders>
              <w:top w:val="nil"/>
              <w:left w:val="nil"/>
              <w:bottom w:val="single" w:color="auto" w:sz="4" w:space="0"/>
              <w:right w:val="single" w:color="auto" w:sz="4" w:space="0"/>
            </w:tcBorders>
            <w:noWrap/>
            <w:vAlign w:val="center"/>
          </w:tcPr>
          <w:p w14:paraId="46463F09">
            <w:pPr>
              <w:widowControl/>
              <w:spacing w:line="240" w:lineRule="atLeast"/>
              <w:jc w:val="center"/>
              <w:rPr>
                <w:rFonts w:hint="eastAsia" w:hAnsi="宋体" w:cs="宋体"/>
                <w:color w:val="auto"/>
                <w:kern w:val="0"/>
                <w:szCs w:val="21"/>
                <w:highlight w:val="none"/>
              </w:rPr>
            </w:pPr>
            <w:r>
              <w:rPr>
                <w:rFonts w:hint="eastAsia" w:hAnsi="宋体" w:cs="宋体"/>
                <w:color w:val="auto"/>
                <w:kern w:val="0"/>
                <w:szCs w:val="21"/>
                <w:highlight w:val="none"/>
              </w:rPr>
              <w:t>＜100</w:t>
            </w:r>
          </w:p>
        </w:tc>
        <w:tc>
          <w:tcPr>
            <w:tcW w:w="332" w:type="pct"/>
            <w:tcBorders>
              <w:top w:val="nil"/>
              <w:left w:val="nil"/>
              <w:bottom w:val="single" w:color="auto" w:sz="4" w:space="0"/>
              <w:right w:val="single" w:color="auto" w:sz="4" w:space="0"/>
            </w:tcBorders>
            <w:noWrap/>
            <w:vAlign w:val="center"/>
          </w:tcPr>
          <w:p w14:paraId="6E90EF18">
            <w:pPr>
              <w:widowControl/>
              <w:spacing w:line="240" w:lineRule="atLeast"/>
              <w:jc w:val="center"/>
              <w:rPr>
                <w:rFonts w:hint="eastAsia" w:hAnsi="宋体" w:cs="宋体"/>
                <w:color w:val="auto"/>
                <w:kern w:val="0"/>
                <w:szCs w:val="21"/>
                <w:highlight w:val="none"/>
              </w:rPr>
            </w:pPr>
            <w:r>
              <w:rPr>
                <w:rFonts w:hint="eastAsia" w:hAnsi="宋体" w:cs="宋体"/>
                <w:color w:val="auto"/>
                <w:kern w:val="0"/>
                <w:szCs w:val="21"/>
                <w:highlight w:val="none"/>
              </w:rPr>
              <w:t>＜20</w:t>
            </w:r>
          </w:p>
        </w:tc>
        <w:tc>
          <w:tcPr>
            <w:tcW w:w="296" w:type="pct"/>
            <w:tcBorders>
              <w:top w:val="nil"/>
              <w:left w:val="nil"/>
              <w:bottom w:val="single" w:color="auto" w:sz="4" w:space="0"/>
              <w:right w:val="single" w:color="auto" w:sz="4" w:space="0"/>
            </w:tcBorders>
            <w:noWrap/>
            <w:vAlign w:val="center"/>
          </w:tcPr>
          <w:p w14:paraId="6B80195D">
            <w:pPr>
              <w:widowControl/>
              <w:spacing w:line="240" w:lineRule="atLeast"/>
              <w:jc w:val="center"/>
              <w:rPr>
                <w:rFonts w:hint="eastAsia" w:hAnsi="宋体" w:cs="宋体"/>
                <w:color w:val="auto"/>
                <w:kern w:val="0"/>
                <w:szCs w:val="21"/>
                <w:highlight w:val="none"/>
              </w:rPr>
            </w:pPr>
            <w:r>
              <w:rPr>
                <w:rFonts w:hint="eastAsia" w:hAnsi="宋体" w:cs="宋体"/>
                <w:color w:val="auto"/>
                <w:kern w:val="0"/>
                <w:szCs w:val="21"/>
                <w:highlight w:val="none"/>
              </w:rPr>
              <w:t>　</w:t>
            </w:r>
          </w:p>
        </w:tc>
      </w:tr>
      <w:tr w14:paraId="2FC81463">
        <w:tblPrEx>
          <w:tblCellMar>
            <w:top w:w="0" w:type="dxa"/>
            <w:left w:w="108" w:type="dxa"/>
            <w:bottom w:w="0" w:type="dxa"/>
            <w:right w:w="108" w:type="dxa"/>
          </w:tblCellMar>
        </w:tblPrEx>
        <w:trPr>
          <w:trHeight w:val="363" w:hRule="atLeast"/>
          <w:jc w:val="center"/>
        </w:trPr>
        <w:tc>
          <w:tcPr>
            <w:tcW w:w="183" w:type="pct"/>
            <w:tcBorders>
              <w:top w:val="nil"/>
              <w:left w:val="single" w:color="auto" w:sz="4" w:space="0"/>
              <w:bottom w:val="single" w:color="auto" w:sz="4" w:space="0"/>
              <w:right w:val="single" w:color="auto" w:sz="4" w:space="0"/>
            </w:tcBorders>
            <w:noWrap/>
            <w:vAlign w:val="center"/>
          </w:tcPr>
          <w:p w14:paraId="3508C65A">
            <w:pPr>
              <w:widowControl/>
              <w:spacing w:line="240" w:lineRule="atLeast"/>
              <w:ind w:left="-107" w:leftChars="-51" w:right="-107" w:rightChars="-51"/>
              <w:jc w:val="center"/>
              <w:rPr>
                <w:rFonts w:hint="eastAsia" w:hAnsi="宋体" w:cs="宋体"/>
                <w:b/>
                <w:color w:val="auto"/>
                <w:kern w:val="0"/>
                <w:szCs w:val="21"/>
                <w:highlight w:val="none"/>
              </w:rPr>
            </w:pPr>
            <w:r>
              <w:rPr>
                <w:rFonts w:hint="eastAsia" w:hAnsi="宋体" w:cs="宋体"/>
                <w:b/>
                <w:color w:val="auto"/>
                <w:kern w:val="0"/>
                <w:szCs w:val="21"/>
                <w:highlight w:val="none"/>
              </w:rPr>
              <w:t>8</w:t>
            </w:r>
          </w:p>
        </w:tc>
        <w:tc>
          <w:tcPr>
            <w:tcW w:w="666" w:type="pct"/>
            <w:tcBorders>
              <w:top w:val="nil"/>
              <w:left w:val="nil"/>
              <w:bottom w:val="single" w:color="auto" w:sz="4" w:space="0"/>
              <w:right w:val="single" w:color="auto" w:sz="4" w:space="0"/>
            </w:tcBorders>
            <w:noWrap w:val="0"/>
            <w:vAlign w:val="center"/>
          </w:tcPr>
          <w:p w14:paraId="5FBE1184">
            <w:pPr>
              <w:spacing w:line="240" w:lineRule="atLeast"/>
              <w:ind w:left="-27" w:leftChars="-13" w:right="-65" w:rightChars="-31"/>
              <w:jc w:val="left"/>
              <w:rPr>
                <w:rFonts w:hint="eastAsia" w:hAnsi="宋体" w:cs="宋体"/>
                <w:b/>
                <w:color w:val="auto"/>
                <w:kern w:val="0"/>
                <w:szCs w:val="21"/>
                <w:highlight w:val="none"/>
              </w:rPr>
            </w:pPr>
            <w:r>
              <w:rPr>
                <w:rFonts w:hint="eastAsia" w:hAnsi="宋体" w:cs="宋体"/>
                <w:b/>
                <w:color w:val="auto"/>
                <w:kern w:val="0"/>
                <w:szCs w:val="21"/>
                <w:highlight w:val="none"/>
              </w:rPr>
              <w:t>邮政业</w:t>
            </w:r>
          </w:p>
        </w:tc>
        <w:tc>
          <w:tcPr>
            <w:tcW w:w="405" w:type="pct"/>
            <w:tcBorders>
              <w:top w:val="nil"/>
              <w:left w:val="nil"/>
              <w:bottom w:val="single" w:color="auto" w:sz="4" w:space="0"/>
              <w:right w:val="single" w:color="auto" w:sz="4" w:space="0"/>
            </w:tcBorders>
            <w:noWrap/>
            <w:vAlign w:val="center"/>
          </w:tcPr>
          <w:p w14:paraId="73F07384">
            <w:pPr>
              <w:widowControl/>
              <w:spacing w:line="240" w:lineRule="atLeast"/>
              <w:ind w:left="-107" w:leftChars="-51" w:right="-107" w:rightChars="-51"/>
              <w:jc w:val="center"/>
              <w:rPr>
                <w:rFonts w:hint="eastAsia" w:hAnsi="宋体" w:cs="宋体"/>
                <w:color w:val="auto"/>
                <w:kern w:val="0"/>
                <w:szCs w:val="21"/>
                <w:highlight w:val="none"/>
              </w:rPr>
            </w:pPr>
            <w:r>
              <w:rPr>
                <w:rFonts w:hint="eastAsia" w:hAnsi="宋体" w:cs="宋体"/>
                <w:color w:val="auto"/>
                <w:kern w:val="0"/>
                <w:szCs w:val="21"/>
                <w:highlight w:val="none"/>
              </w:rPr>
              <w:t>≥30000</w:t>
            </w:r>
          </w:p>
        </w:tc>
        <w:tc>
          <w:tcPr>
            <w:tcW w:w="332" w:type="pct"/>
            <w:tcBorders>
              <w:top w:val="nil"/>
              <w:left w:val="nil"/>
              <w:bottom w:val="single" w:color="auto" w:sz="4" w:space="0"/>
              <w:right w:val="single" w:color="auto" w:sz="4" w:space="0"/>
            </w:tcBorders>
            <w:noWrap/>
            <w:vAlign w:val="center"/>
          </w:tcPr>
          <w:p w14:paraId="68B4BFE4">
            <w:pPr>
              <w:widowControl/>
              <w:spacing w:line="240" w:lineRule="atLeast"/>
              <w:ind w:left="-107" w:leftChars="-51" w:right="-107" w:rightChars="-51"/>
              <w:jc w:val="center"/>
              <w:rPr>
                <w:rFonts w:hint="eastAsia" w:hAnsi="宋体" w:cs="宋体"/>
                <w:color w:val="auto"/>
                <w:kern w:val="0"/>
                <w:szCs w:val="21"/>
                <w:highlight w:val="none"/>
              </w:rPr>
            </w:pPr>
            <w:r>
              <w:rPr>
                <w:rFonts w:hint="eastAsia" w:hAnsi="宋体" w:cs="宋体"/>
                <w:color w:val="auto"/>
                <w:kern w:val="0"/>
                <w:szCs w:val="21"/>
                <w:highlight w:val="none"/>
              </w:rPr>
              <w:t>≥1000</w:t>
            </w:r>
          </w:p>
        </w:tc>
        <w:tc>
          <w:tcPr>
            <w:tcW w:w="316" w:type="pct"/>
            <w:tcBorders>
              <w:top w:val="nil"/>
              <w:left w:val="nil"/>
              <w:bottom w:val="single" w:color="auto" w:sz="4" w:space="0"/>
              <w:right w:val="single" w:color="auto" w:sz="4" w:space="0"/>
            </w:tcBorders>
            <w:noWrap/>
            <w:vAlign w:val="center"/>
          </w:tcPr>
          <w:p w14:paraId="4A798FD1">
            <w:pPr>
              <w:widowControl/>
              <w:spacing w:line="240" w:lineRule="atLeast"/>
              <w:ind w:left="-107" w:leftChars="-51" w:right="-107" w:rightChars="-51"/>
              <w:jc w:val="center"/>
              <w:rPr>
                <w:rFonts w:hint="eastAsia" w:hAnsi="宋体" w:cs="宋体"/>
                <w:color w:val="auto"/>
                <w:kern w:val="0"/>
                <w:szCs w:val="21"/>
                <w:highlight w:val="none"/>
              </w:rPr>
            </w:pPr>
            <w:r>
              <w:rPr>
                <w:rFonts w:hint="eastAsia" w:hAnsi="宋体" w:cs="宋体"/>
                <w:color w:val="auto"/>
                <w:kern w:val="0"/>
                <w:szCs w:val="21"/>
                <w:highlight w:val="none"/>
              </w:rPr>
              <w:t>　</w:t>
            </w:r>
          </w:p>
        </w:tc>
        <w:tc>
          <w:tcPr>
            <w:tcW w:w="374" w:type="pct"/>
            <w:tcBorders>
              <w:top w:val="nil"/>
              <w:left w:val="nil"/>
              <w:bottom w:val="single" w:color="auto" w:sz="4" w:space="0"/>
              <w:right w:val="single" w:color="auto" w:sz="4" w:space="0"/>
            </w:tcBorders>
            <w:noWrap/>
            <w:vAlign w:val="center"/>
          </w:tcPr>
          <w:p w14:paraId="7732F1B5">
            <w:pPr>
              <w:widowControl/>
              <w:spacing w:line="240" w:lineRule="atLeast"/>
              <w:ind w:left="-107" w:leftChars="-51" w:right="-107" w:rightChars="-51"/>
              <w:jc w:val="center"/>
              <w:rPr>
                <w:rFonts w:hint="eastAsia" w:hAnsi="宋体" w:cs="宋体"/>
                <w:color w:val="auto"/>
                <w:kern w:val="0"/>
                <w:szCs w:val="21"/>
                <w:highlight w:val="none"/>
              </w:rPr>
            </w:pPr>
            <w:r>
              <w:rPr>
                <w:rFonts w:hint="eastAsia" w:hAnsi="宋体" w:cs="宋体"/>
                <w:color w:val="auto"/>
                <w:kern w:val="0"/>
                <w:szCs w:val="21"/>
                <w:highlight w:val="none"/>
              </w:rPr>
              <w:t>≥2000</w:t>
            </w:r>
          </w:p>
        </w:tc>
        <w:tc>
          <w:tcPr>
            <w:tcW w:w="332" w:type="pct"/>
            <w:tcBorders>
              <w:top w:val="nil"/>
              <w:left w:val="nil"/>
              <w:bottom w:val="single" w:color="auto" w:sz="4" w:space="0"/>
              <w:right w:val="single" w:color="auto" w:sz="4" w:space="0"/>
            </w:tcBorders>
            <w:noWrap/>
            <w:vAlign w:val="center"/>
          </w:tcPr>
          <w:p w14:paraId="79B05A2C">
            <w:pPr>
              <w:widowControl/>
              <w:spacing w:line="240" w:lineRule="atLeast"/>
              <w:ind w:left="-107" w:leftChars="-51" w:right="-107" w:rightChars="-51"/>
              <w:jc w:val="center"/>
              <w:rPr>
                <w:rFonts w:hint="eastAsia" w:hAnsi="宋体" w:cs="宋体"/>
                <w:color w:val="auto"/>
                <w:kern w:val="0"/>
                <w:szCs w:val="21"/>
                <w:highlight w:val="none"/>
              </w:rPr>
            </w:pPr>
            <w:r>
              <w:rPr>
                <w:rFonts w:hint="eastAsia" w:hAnsi="宋体" w:cs="宋体"/>
                <w:color w:val="auto"/>
                <w:kern w:val="0"/>
                <w:szCs w:val="21"/>
                <w:highlight w:val="none"/>
              </w:rPr>
              <w:t>≥300</w:t>
            </w:r>
          </w:p>
        </w:tc>
        <w:tc>
          <w:tcPr>
            <w:tcW w:w="336" w:type="pct"/>
            <w:tcBorders>
              <w:top w:val="nil"/>
              <w:left w:val="nil"/>
              <w:bottom w:val="single" w:color="auto" w:sz="4" w:space="0"/>
              <w:right w:val="single" w:color="auto" w:sz="4" w:space="0"/>
            </w:tcBorders>
            <w:noWrap/>
            <w:vAlign w:val="center"/>
          </w:tcPr>
          <w:p w14:paraId="4893949C">
            <w:pPr>
              <w:widowControl/>
              <w:spacing w:line="240" w:lineRule="atLeast"/>
              <w:jc w:val="center"/>
              <w:rPr>
                <w:rFonts w:hint="eastAsia" w:hAnsi="宋体" w:cs="宋体"/>
                <w:color w:val="auto"/>
                <w:kern w:val="0"/>
                <w:szCs w:val="21"/>
                <w:highlight w:val="none"/>
              </w:rPr>
            </w:pPr>
            <w:r>
              <w:rPr>
                <w:rFonts w:hint="eastAsia" w:hAnsi="宋体" w:cs="宋体"/>
                <w:color w:val="auto"/>
                <w:kern w:val="0"/>
                <w:szCs w:val="21"/>
                <w:highlight w:val="none"/>
              </w:rPr>
              <w:t>　</w:t>
            </w:r>
          </w:p>
        </w:tc>
        <w:tc>
          <w:tcPr>
            <w:tcW w:w="374" w:type="pct"/>
            <w:tcBorders>
              <w:top w:val="nil"/>
              <w:left w:val="nil"/>
              <w:bottom w:val="single" w:color="auto" w:sz="4" w:space="0"/>
              <w:right w:val="single" w:color="auto" w:sz="4" w:space="0"/>
            </w:tcBorders>
            <w:noWrap/>
            <w:vAlign w:val="center"/>
          </w:tcPr>
          <w:p w14:paraId="78E6C642">
            <w:pPr>
              <w:widowControl/>
              <w:spacing w:line="240" w:lineRule="atLeast"/>
              <w:jc w:val="center"/>
              <w:rPr>
                <w:rFonts w:hint="eastAsia" w:hAnsi="宋体" w:cs="宋体"/>
                <w:color w:val="auto"/>
                <w:kern w:val="0"/>
                <w:szCs w:val="21"/>
                <w:highlight w:val="none"/>
              </w:rPr>
            </w:pPr>
            <w:r>
              <w:rPr>
                <w:rFonts w:hint="eastAsia" w:hAnsi="宋体" w:cs="宋体"/>
                <w:color w:val="auto"/>
                <w:kern w:val="0"/>
                <w:szCs w:val="21"/>
                <w:highlight w:val="none"/>
              </w:rPr>
              <w:t>≥100</w:t>
            </w:r>
          </w:p>
        </w:tc>
        <w:tc>
          <w:tcPr>
            <w:tcW w:w="332" w:type="pct"/>
            <w:tcBorders>
              <w:top w:val="nil"/>
              <w:left w:val="nil"/>
              <w:bottom w:val="single" w:color="auto" w:sz="4" w:space="0"/>
              <w:right w:val="single" w:color="auto" w:sz="4" w:space="0"/>
            </w:tcBorders>
            <w:noWrap/>
            <w:vAlign w:val="center"/>
          </w:tcPr>
          <w:p w14:paraId="4DEE8F65">
            <w:pPr>
              <w:widowControl/>
              <w:spacing w:line="240" w:lineRule="atLeast"/>
              <w:jc w:val="center"/>
              <w:rPr>
                <w:rFonts w:hint="eastAsia" w:hAnsi="宋体" w:cs="宋体"/>
                <w:color w:val="auto"/>
                <w:kern w:val="0"/>
                <w:szCs w:val="21"/>
                <w:highlight w:val="none"/>
              </w:rPr>
            </w:pPr>
            <w:r>
              <w:rPr>
                <w:rFonts w:hint="eastAsia" w:hAnsi="宋体" w:cs="宋体"/>
                <w:color w:val="auto"/>
                <w:kern w:val="0"/>
                <w:szCs w:val="21"/>
                <w:highlight w:val="none"/>
              </w:rPr>
              <w:t>≥20</w:t>
            </w:r>
          </w:p>
        </w:tc>
        <w:tc>
          <w:tcPr>
            <w:tcW w:w="338" w:type="pct"/>
            <w:tcBorders>
              <w:top w:val="nil"/>
              <w:left w:val="nil"/>
              <w:bottom w:val="single" w:color="auto" w:sz="4" w:space="0"/>
              <w:right w:val="single" w:color="auto" w:sz="4" w:space="0"/>
            </w:tcBorders>
            <w:noWrap/>
            <w:vAlign w:val="center"/>
          </w:tcPr>
          <w:p w14:paraId="712B84DB">
            <w:pPr>
              <w:widowControl/>
              <w:spacing w:line="240" w:lineRule="atLeast"/>
              <w:jc w:val="center"/>
              <w:rPr>
                <w:rFonts w:hint="eastAsia" w:hAnsi="宋体" w:cs="宋体"/>
                <w:color w:val="auto"/>
                <w:kern w:val="0"/>
                <w:szCs w:val="21"/>
                <w:highlight w:val="none"/>
              </w:rPr>
            </w:pPr>
            <w:r>
              <w:rPr>
                <w:rFonts w:hint="eastAsia" w:hAnsi="宋体" w:cs="宋体"/>
                <w:color w:val="auto"/>
                <w:kern w:val="0"/>
                <w:szCs w:val="21"/>
                <w:highlight w:val="none"/>
              </w:rPr>
              <w:t>　</w:t>
            </w:r>
          </w:p>
        </w:tc>
        <w:tc>
          <w:tcPr>
            <w:tcW w:w="374" w:type="pct"/>
            <w:tcBorders>
              <w:top w:val="nil"/>
              <w:left w:val="nil"/>
              <w:bottom w:val="single" w:color="auto" w:sz="4" w:space="0"/>
              <w:right w:val="single" w:color="auto" w:sz="4" w:space="0"/>
            </w:tcBorders>
            <w:noWrap/>
            <w:vAlign w:val="center"/>
          </w:tcPr>
          <w:p w14:paraId="332B6352">
            <w:pPr>
              <w:widowControl/>
              <w:spacing w:line="240" w:lineRule="atLeast"/>
              <w:jc w:val="center"/>
              <w:rPr>
                <w:rFonts w:hint="eastAsia" w:hAnsi="宋体" w:cs="宋体"/>
                <w:color w:val="auto"/>
                <w:kern w:val="0"/>
                <w:szCs w:val="21"/>
                <w:highlight w:val="none"/>
              </w:rPr>
            </w:pPr>
            <w:r>
              <w:rPr>
                <w:rFonts w:hint="eastAsia" w:hAnsi="宋体" w:cs="宋体"/>
                <w:color w:val="auto"/>
                <w:kern w:val="0"/>
                <w:szCs w:val="21"/>
                <w:highlight w:val="none"/>
              </w:rPr>
              <w:t>＜100</w:t>
            </w:r>
          </w:p>
        </w:tc>
        <w:tc>
          <w:tcPr>
            <w:tcW w:w="332" w:type="pct"/>
            <w:tcBorders>
              <w:top w:val="nil"/>
              <w:left w:val="nil"/>
              <w:bottom w:val="single" w:color="auto" w:sz="4" w:space="0"/>
              <w:right w:val="single" w:color="auto" w:sz="4" w:space="0"/>
            </w:tcBorders>
            <w:noWrap/>
            <w:vAlign w:val="center"/>
          </w:tcPr>
          <w:p w14:paraId="2E5B320E">
            <w:pPr>
              <w:widowControl/>
              <w:spacing w:line="240" w:lineRule="atLeast"/>
              <w:jc w:val="center"/>
              <w:rPr>
                <w:rFonts w:hint="eastAsia" w:hAnsi="宋体" w:cs="宋体"/>
                <w:color w:val="auto"/>
                <w:kern w:val="0"/>
                <w:szCs w:val="21"/>
                <w:highlight w:val="none"/>
              </w:rPr>
            </w:pPr>
            <w:r>
              <w:rPr>
                <w:rFonts w:hint="eastAsia" w:hAnsi="宋体" w:cs="宋体"/>
                <w:color w:val="auto"/>
                <w:kern w:val="0"/>
                <w:szCs w:val="21"/>
                <w:highlight w:val="none"/>
              </w:rPr>
              <w:t>＜20</w:t>
            </w:r>
          </w:p>
        </w:tc>
        <w:tc>
          <w:tcPr>
            <w:tcW w:w="296" w:type="pct"/>
            <w:tcBorders>
              <w:top w:val="nil"/>
              <w:left w:val="nil"/>
              <w:bottom w:val="single" w:color="auto" w:sz="4" w:space="0"/>
              <w:right w:val="single" w:color="auto" w:sz="4" w:space="0"/>
            </w:tcBorders>
            <w:noWrap/>
            <w:vAlign w:val="center"/>
          </w:tcPr>
          <w:p w14:paraId="3999BAB1">
            <w:pPr>
              <w:widowControl/>
              <w:spacing w:line="240" w:lineRule="atLeast"/>
              <w:jc w:val="center"/>
              <w:rPr>
                <w:rFonts w:hint="eastAsia" w:hAnsi="宋体" w:cs="宋体"/>
                <w:color w:val="auto"/>
                <w:kern w:val="0"/>
                <w:szCs w:val="21"/>
                <w:highlight w:val="none"/>
              </w:rPr>
            </w:pPr>
            <w:r>
              <w:rPr>
                <w:rFonts w:hint="eastAsia" w:hAnsi="宋体" w:cs="宋体"/>
                <w:color w:val="auto"/>
                <w:kern w:val="0"/>
                <w:szCs w:val="21"/>
                <w:highlight w:val="none"/>
              </w:rPr>
              <w:t>　</w:t>
            </w:r>
          </w:p>
        </w:tc>
      </w:tr>
      <w:tr w14:paraId="6648C54C">
        <w:tblPrEx>
          <w:tblCellMar>
            <w:top w:w="0" w:type="dxa"/>
            <w:left w:w="108" w:type="dxa"/>
            <w:bottom w:w="0" w:type="dxa"/>
            <w:right w:w="108" w:type="dxa"/>
          </w:tblCellMar>
        </w:tblPrEx>
        <w:trPr>
          <w:trHeight w:val="363" w:hRule="atLeast"/>
          <w:jc w:val="center"/>
        </w:trPr>
        <w:tc>
          <w:tcPr>
            <w:tcW w:w="183" w:type="pct"/>
            <w:tcBorders>
              <w:top w:val="nil"/>
              <w:left w:val="single" w:color="auto" w:sz="4" w:space="0"/>
              <w:bottom w:val="single" w:color="auto" w:sz="4" w:space="0"/>
              <w:right w:val="single" w:color="auto" w:sz="4" w:space="0"/>
            </w:tcBorders>
            <w:noWrap/>
            <w:vAlign w:val="center"/>
          </w:tcPr>
          <w:p w14:paraId="3FA32308">
            <w:pPr>
              <w:widowControl/>
              <w:spacing w:line="240" w:lineRule="atLeast"/>
              <w:ind w:left="-107" w:leftChars="-51" w:right="-107" w:rightChars="-51"/>
              <w:jc w:val="center"/>
              <w:rPr>
                <w:rFonts w:hint="eastAsia" w:hAnsi="宋体" w:cs="宋体"/>
                <w:b/>
                <w:color w:val="auto"/>
                <w:kern w:val="0"/>
                <w:szCs w:val="21"/>
                <w:highlight w:val="none"/>
              </w:rPr>
            </w:pPr>
            <w:r>
              <w:rPr>
                <w:rFonts w:hint="eastAsia" w:hAnsi="宋体" w:cs="宋体"/>
                <w:b/>
                <w:color w:val="auto"/>
                <w:kern w:val="0"/>
                <w:szCs w:val="21"/>
                <w:highlight w:val="none"/>
              </w:rPr>
              <w:t>9</w:t>
            </w:r>
          </w:p>
        </w:tc>
        <w:tc>
          <w:tcPr>
            <w:tcW w:w="666" w:type="pct"/>
            <w:tcBorders>
              <w:top w:val="nil"/>
              <w:left w:val="nil"/>
              <w:bottom w:val="single" w:color="auto" w:sz="4" w:space="0"/>
              <w:right w:val="single" w:color="auto" w:sz="4" w:space="0"/>
            </w:tcBorders>
            <w:noWrap w:val="0"/>
            <w:vAlign w:val="center"/>
          </w:tcPr>
          <w:p w14:paraId="68185AB8">
            <w:pPr>
              <w:spacing w:line="240" w:lineRule="atLeast"/>
              <w:ind w:left="-27" w:leftChars="-13" w:right="-65" w:rightChars="-31"/>
              <w:jc w:val="left"/>
              <w:rPr>
                <w:rFonts w:hint="eastAsia" w:hAnsi="宋体" w:cs="宋体"/>
                <w:b/>
                <w:color w:val="auto"/>
                <w:kern w:val="0"/>
                <w:szCs w:val="21"/>
                <w:highlight w:val="none"/>
              </w:rPr>
            </w:pPr>
            <w:r>
              <w:rPr>
                <w:rFonts w:hint="eastAsia" w:hAnsi="宋体" w:cs="宋体"/>
                <w:b/>
                <w:color w:val="auto"/>
                <w:kern w:val="0"/>
                <w:szCs w:val="21"/>
                <w:highlight w:val="none"/>
              </w:rPr>
              <w:t>住宿业</w:t>
            </w:r>
          </w:p>
        </w:tc>
        <w:tc>
          <w:tcPr>
            <w:tcW w:w="405" w:type="pct"/>
            <w:tcBorders>
              <w:top w:val="nil"/>
              <w:left w:val="nil"/>
              <w:bottom w:val="single" w:color="auto" w:sz="4" w:space="0"/>
              <w:right w:val="single" w:color="auto" w:sz="4" w:space="0"/>
            </w:tcBorders>
            <w:noWrap/>
            <w:vAlign w:val="center"/>
          </w:tcPr>
          <w:p w14:paraId="6CB1568D">
            <w:pPr>
              <w:widowControl/>
              <w:spacing w:line="240" w:lineRule="atLeast"/>
              <w:ind w:left="-107" w:leftChars="-51" w:right="-107" w:rightChars="-51"/>
              <w:jc w:val="center"/>
              <w:rPr>
                <w:rFonts w:hint="eastAsia" w:hAnsi="宋体" w:cs="宋体"/>
                <w:color w:val="auto"/>
                <w:kern w:val="0"/>
                <w:szCs w:val="21"/>
                <w:highlight w:val="none"/>
              </w:rPr>
            </w:pPr>
            <w:r>
              <w:rPr>
                <w:rFonts w:hint="eastAsia" w:hAnsi="宋体" w:cs="宋体"/>
                <w:color w:val="auto"/>
                <w:kern w:val="0"/>
                <w:szCs w:val="21"/>
                <w:highlight w:val="none"/>
              </w:rPr>
              <w:t>≥10000</w:t>
            </w:r>
          </w:p>
        </w:tc>
        <w:tc>
          <w:tcPr>
            <w:tcW w:w="332" w:type="pct"/>
            <w:tcBorders>
              <w:top w:val="nil"/>
              <w:left w:val="nil"/>
              <w:bottom w:val="single" w:color="auto" w:sz="4" w:space="0"/>
              <w:right w:val="single" w:color="auto" w:sz="4" w:space="0"/>
            </w:tcBorders>
            <w:noWrap/>
            <w:vAlign w:val="center"/>
          </w:tcPr>
          <w:p w14:paraId="3948CF27">
            <w:pPr>
              <w:widowControl/>
              <w:spacing w:line="240" w:lineRule="atLeast"/>
              <w:ind w:left="-107" w:leftChars="-51" w:right="-107" w:rightChars="-51"/>
              <w:jc w:val="center"/>
              <w:rPr>
                <w:rFonts w:hint="eastAsia" w:hAnsi="宋体" w:cs="宋体"/>
                <w:color w:val="auto"/>
                <w:kern w:val="0"/>
                <w:szCs w:val="21"/>
                <w:highlight w:val="none"/>
              </w:rPr>
            </w:pPr>
            <w:r>
              <w:rPr>
                <w:rFonts w:hint="eastAsia" w:hAnsi="宋体" w:cs="宋体"/>
                <w:color w:val="auto"/>
                <w:kern w:val="0"/>
                <w:szCs w:val="21"/>
                <w:highlight w:val="none"/>
              </w:rPr>
              <w:t>≥300</w:t>
            </w:r>
          </w:p>
        </w:tc>
        <w:tc>
          <w:tcPr>
            <w:tcW w:w="316" w:type="pct"/>
            <w:tcBorders>
              <w:top w:val="nil"/>
              <w:left w:val="nil"/>
              <w:bottom w:val="single" w:color="auto" w:sz="4" w:space="0"/>
              <w:right w:val="single" w:color="auto" w:sz="4" w:space="0"/>
            </w:tcBorders>
            <w:noWrap/>
            <w:vAlign w:val="center"/>
          </w:tcPr>
          <w:p w14:paraId="478A9AB5">
            <w:pPr>
              <w:widowControl/>
              <w:spacing w:line="240" w:lineRule="atLeast"/>
              <w:ind w:left="-107" w:leftChars="-51" w:right="-107" w:rightChars="-51"/>
              <w:jc w:val="center"/>
              <w:rPr>
                <w:rFonts w:hint="eastAsia" w:hAnsi="宋体" w:cs="宋体"/>
                <w:color w:val="auto"/>
                <w:kern w:val="0"/>
                <w:szCs w:val="21"/>
                <w:highlight w:val="none"/>
              </w:rPr>
            </w:pPr>
            <w:r>
              <w:rPr>
                <w:rFonts w:hint="eastAsia" w:hAnsi="宋体" w:cs="宋体"/>
                <w:color w:val="auto"/>
                <w:kern w:val="0"/>
                <w:szCs w:val="21"/>
                <w:highlight w:val="none"/>
              </w:rPr>
              <w:t>　</w:t>
            </w:r>
          </w:p>
        </w:tc>
        <w:tc>
          <w:tcPr>
            <w:tcW w:w="374" w:type="pct"/>
            <w:tcBorders>
              <w:top w:val="nil"/>
              <w:left w:val="nil"/>
              <w:bottom w:val="single" w:color="auto" w:sz="4" w:space="0"/>
              <w:right w:val="single" w:color="auto" w:sz="4" w:space="0"/>
            </w:tcBorders>
            <w:noWrap/>
            <w:vAlign w:val="center"/>
          </w:tcPr>
          <w:p w14:paraId="519EDE7C">
            <w:pPr>
              <w:widowControl/>
              <w:spacing w:line="240" w:lineRule="atLeast"/>
              <w:ind w:left="-107" w:leftChars="-51" w:right="-107" w:rightChars="-51"/>
              <w:jc w:val="center"/>
              <w:rPr>
                <w:rFonts w:hint="eastAsia" w:hAnsi="宋体" w:cs="宋体"/>
                <w:color w:val="auto"/>
                <w:kern w:val="0"/>
                <w:szCs w:val="21"/>
                <w:highlight w:val="none"/>
              </w:rPr>
            </w:pPr>
            <w:r>
              <w:rPr>
                <w:rFonts w:hint="eastAsia" w:hAnsi="宋体" w:cs="宋体"/>
                <w:color w:val="auto"/>
                <w:kern w:val="0"/>
                <w:szCs w:val="21"/>
                <w:highlight w:val="none"/>
              </w:rPr>
              <w:t>≥2000</w:t>
            </w:r>
          </w:p>
        </w:tc>
        <w:tc>
          <w:tcPr>
            <w:tcW w:w="332" w:type="pct"/>
            <w:tcBorders>
              <w:top w:val="nil"/>
              <w:left w:val="nil"/>
              <w:bottom w:val="single" w:color="auto" w:sz="4" w:space="0"/>
              <w:right w:val="single" w:color="auto" w:sz="4" w:space="0"/>
            </w:tcBorders>
            <w:noWrap/>
            <w:vAlign w:val="center"/>
          </w:tcPr>
          <w:p w14:paraId="2AADC7E3">
            <w:pPr>
              <w:widowControl/>
              <w:spacing w:line="240" w:lineRule="atLeast"/>
              <w:ind w:left="-107" w:leftChars="-51" w:right="-107" w:rightChars="-51"/>
              <w:jc w:val="center"/>
              <w:rPr>
                <w:rFonts w:hint="eastAsia" w:hAnsi="宋体" w:cs="宋体"/>
                <w:color w:val="auto"/>
                <w:kern w:val="0"/>
                <w:szCs w:val="21"/>
                <w:highlight w:val="none"/>
              </w:rPr>
            </w:pPr>
            <w:r>
              <w:rPr>
                <w:rFonts w:hint="eastAsia" w:hAnsi="宋体" w:cs="宋体"/>
                <w:color w:val="auto"/>
                <w:kern w:val="0"/>
                <w:szCs w:val="21"/>
                <w:highlight w:val="none"/>
              </w:rPr>
              <w:t>≥100</w:t>
            </w:r>
          </w:p>
        </w:tc>
        <w:tc>
          <w:tcPr>
            <w:tcW w:w="336" w:type="pct"/>
            <w:tcBorders>
              <w:top w:val="nil"/>
              <w:left w:val="nil"/>
              <w:bottom w:val="single" w:color="auto" w:sz="4" w:space="0"/>
              <w:right w:val="single" w:color="auto" w:sz="4" w:space="0"/>
            </w:tcBorders>
            <w:noWrap/>
            <w:vAlign w:val="center"/>
          </w:tcPr>
          <w:p w14:paraId="0F9BC0B1">
            <w:pPr>
              <w:widowControl/>
              <w:spacing w:line="240" w:lineRule="atLeast"/>
              <w:jc w:val="center"/>
              <w:rPr>
                <w:rFonts w:hint="eastAsia" w:hAnsi="宋体" w:cs="宋体"/>
                <w:color w:val="auto"/>
                <w:kern w:val="0"/>
                <w:szCs w:val="21"/>
                <w:highlight w:val="none"/>
              </w:rPr>
            </w:pPr>
            <w:r>
              <w:rPr>
                <w:rFonts w:hint="eastAsia" w:hAnsi="宋体" w:cs="宋体"/>
                <w:color w:val="auto"/>
                <w:kern w:val="0"/>
                <w:szCs w:val="21"/>
                <w:highlight w:val="none"/>
              </w:rPr>
              <w:t>　</w:t>
            </w:r>
          </w:p>
        </w:tc>
        <w:tc>
          <w:tcPr>
            <w:tcW w:w="374" w:type="pct"/>
            <w:tcBorders>
              <w:top w:val="nil"/>
              <w:left w:val="nil"/>
              <w:bottom w:val="single" w:color="auto" w:sz="4" w:space="0"/>
              <w:right w:val="single" w:color="auto" w:sz="4" w:space="0"/>
            </w:tcBorders>
            <w:noWrap/>
            <w:vAlign w:val="center"/>
          </w:tcPr>
          <w:p w14:paraId="0255FC24">
            <w:pPr>
              <w:widowControl/>
              <w:spacing w:line="240" w:lineRule="atLeast"/>
              <w:jc w:val="center"/>
              <w:rPr>
                <w:rFonts w:hint="eastAsia" w:hAnsi="宋体" w:cs="宋体"/>
                <w:color w:val="auto"/>
                <w:kern w:val="0"/>
                <w:szCs w:val="21"/>
                <w:highlight w:val="none"/>
              </w:rPr>
            </w:pPr>
            <w:r>
              <w:rPr>
                <w:rFonts w:hint="eastAsia" w:hAnsi="宋体" w:cs="宋体"/>
                <w:color w:val="auto"/>
                <w:kern w:val="0"/>
                <w:szCs w:val="21"/>
                <w:highlight w:val="none"/>
              </w:rPr>
              <w:t>≥100</w:t>
            </w:r>
          </w:p>
        </w:tc>
        <w:tc>
          <w:tcPr>
            <w:tcW w:w="332" w:type="pct"/>
            <w:tcBorders>
              <w:top w:val="nil"/>
              <w:left w:val="nil"/>
              <w:bottom w:val="single" w:color="auto" w:sz="4" w:space="0"/>
              <w:right w:val="single" w:color="auto" w:sz="4" w:space="0"/>
            </w:tcBorders>
            <w:noWrap/>
            <w:vAlign w:val="center"/>
          </w:tcPr>
          <w:p w14:paraId="602678F1">
            <w:pPr>
              <w:widowControl/>
              <w:spacing w:line="240" w:lineRule="atLeast"/>
              <w:jc w:val="center"/>
              <w:rPr>
                <w:rFonts w:hint="eastAsia" w:hAnsi="宋体" w:cs="宋体"/>
                <w:color w:val="auto"/>
                <w:kern w:val="0"/>
                <w:szCs w:val="21"/>
                <w:highlight w:val="none"/>
              </w:rPr>
            </w:pPr>
            <w:r>
              <w:rPr>
                <w:rFonts w:hint="eastAsia" w:hAnsi="宋体" w:cs="宋体"/>
                <w:color w:val="auto"/>
                <w:kern w:val="0"/>
                <w:szCs w:val="21"/>
                <w:highlight w:val="none"/>
              </w:rPr>
              <w:t>≥10</w:t>
            </w:r>
          </w:p>
        </w:tc>
        <w:tc>
          <w:tcPr>
            <w:tcW w:w="338" w:type="pct"/>
            <w:tcBorders>
              <w:top w:val="nil"/>
              <w:left w:val="nil"/>
              <w:bottom w:val="single" w:color="auto" w:sz="4" w:space="0"/>
              <w:right w:val="single" w:color="auto" w:sz="4" w:space="0"/>
            </w:tcBorders>
            <w:noWrap/>
            <w:vAlign w:val="center"/>
          </w:tcPr>
          <w:p w14:paraId="6BF9227B">
            <w:pPr>
              <w:widowControl/>
              <w:spacing w:line="240" w:lineRule="atLeast"/>
              <w:jc w:val="center"/>
              <w:rPr>
                <w:rFonts w:hint="eastAsia" w:hAnsi="宋体" w:cs="宋体"/>
                <w:color w:val="auto"/>
                <w:kern w:val="0"/>
                <w:szCs w:val="21"/>
                <w:highlight w:val="none"/>
              </w:rPr>
            </w:pPr>
            <w:r>
              <w:rPr>
                <w:rFonts w:hint="eastAsia" w:hAnsi="宋体" w:cs="宋体"/>
                <w:color w:val="auto"/>
                <w:kern w:val="0"/>
                <w:szCs w:val="21"/>
                <w:highlight w:val="none"/>
              </w:rPr>
              <w:t>　</w:t>
            </w:r>
          </w:p>
        </w:tc>
        <w:tc>
          <w:tcPr>
            <w:tcW w:w="374" w:type="pct"/>
            <w:tcBorders>
              <w:top w:val="nil"/>
              <w:left w:val="nil"/>
              <w:bottom w:val="single" w:color="auto" w:sz="4" w:space="0"/>
              <w:right w:val="single" w:color="auto" w:sz="4" w:space="0"/>
            </w:tcBorders>
            <w:noWrap/>
            <w:vAlign w:val="center"/>
          </w:tcPr>
          <w:p w14:paraId="48564DA5">
            <w:pPr>
              <w:widowControl/>
              <w:spacing w:line="240" w:lineRule="atLeast"/>
              <w:jc w:val="center"/>
              <w:rPr>
                <w:rFonts w:hint="eastAsia" w:hAnsi="宋体" w:cs="宋体"/>
                <w:color w:val="auto"/>
                <w:kern w:val="0"/>
                <w:szCs w:val="21"/>
                <w:highlight w:val="none"/>
              </w:rPr>
            </w:pPr>
            <w:r>
              <w:rPr>
                <w:rFonts w:hint="eastAsia" w:hAnsi="宋体" w:cs="宋体"/>
                <w:color w:val="auto"/>
                <w:kern w:val="0"/>
                <w:szCs w:val="21"/>
                <w:highlight w:val="none"/>
              </w:rPr>
              <w:t>＜100</w:t>
            </w:r>
          </w:p>
        </w:tc>
        <w:tc>
          <w:tcPr>
            <w:tcW w:w="332" w:type="pct"/>
            <w:tcBorders>
              <w:top w:val="nil"/>
              <w:left w:val="nil"/>
              <w:bottom w:val="single" w:color="auto" w:sz="4" w:space="0"/>
              <w:right w:val="single" w:color="auto" w:sz="4" w:space="0"/>
            </w:tcBorders>
            <w:noWrap/>
            <w:vAlign w:val="center"/>
          </w:tcPr>
          <w:p w14:paraId="7C3BE09E">
            <w:pPr>
              <w:widowControl/>
              <w:spacing w:line="240" w:lineRule="atLeast"/>
              <w:jc w:val="center"/>
              <w:rPr>
                <w:rFonts w:hint="eastAsia" w:hAnsi="宋体" w:cs="宋体"/>
                <w:color w:val="auto"/>
                <w:kern w:val="0"/>
                <w:szCs w:val="21"/>
                <w:highlight w:val="none"/>
              </w:rPr>
            </w:pPr>
            <w:r>
              <w:rPr>
                <w:rFonts w:hint="eastAsia" w:hAnsi="宋体" w:cs="宋体"/>
                <w:color w:val="auto"/>
                <w:kern w:val="0"/>
                <w:szCs w:val="21"/>
                <w:highlight w:val="none"/>
              </w:rPr>
              <w:t>＜10</w:t>
            </w:r>
          </w:p>
        </w:tc>
        <w:tc>
          <w:tcPr>
            <w:tcW w:w="296" w:type="pct"/>
            <w:tcBorders>
              <w:top w:val="nil"/>
              <w:left w:val="nil"/>
              <w:bottom w:val="single" w:color="auto" w:sz="4" w:space="0"/>
              <w:right w:val="single" w:color="auto" w:sz="4" w:space="0"/>
            </w:tcBorders>
            <w:noWrap/>
            <w:vAlign w:val="center"/>
          </w:tcPr>
          <w:p w14:paraId="0B81BF45">
            <w:pPr>
              <w:widowControl/>
              <w:spacing w:line="240" w:lineRule="atLeast"/>
              <w:jc w:val="center"/>
              <w:rPr>
                <w:rFonts w:hint="eastAsia" w:hAnsi="宋体" w:cs="宋体"/>
                <w:color w:val="auto"/>
                <w:kern w:val="0"/>
                <w:szCs w:val="21"/>
                <w:highlight w:val="none"/>
              </w:rPr>
            </w:pPr>
            <w:r>
              <w:rPr>
                <w:rFonts w:hint="eastAsia" w:hAnsi="宋体" w:cs="宋体"/>
                <w:color w:val="auto"/>
                <w:kern w:val="0"/>
                <w:szCs w:val="21"/>
                <w:highlight w:val="none"/>
              </w:rPr>
              <w:t>　</w:t>
            </w:r>
          </w:p>
        </w:tc>
      </w:tr>
      <w:tr w14:paraId="17225C5D">
        <w:tblPrEx>
          <w:tblCellMar>
            <w:top w:w="0" w:type="dxa"/>
            <w:left w:w="108" w:type="dxa"/>
            <w:bottom w:w="0" w:type="dxa"/>
            <w:right w:w="108" w:type="dxa"/>
          </w:tblCellMar>
        </w:tblPrEx>
        <w:trPr>
          <w:trHeight w:val="363" w:hRule="atLeast"/>
          <w:jc w:val="center"/>
        </w:trPr>
        <w:tc>
          <w:tcPr>
            <w:tcW w:w="183" w:type="pct"/>
            <w:tcBorders>
              <w:top w:val="nil"/>
              <w:left w:val="single" w:color="auto" w:sz="4" w:space="0"/>
              <w:bottom w:val="single" w:color="auto" w:sz="4" w:space="0"/>
              <w:right w:val="single" w:color="auto" w:sz="4" w:space="0"/>
            </w:tcBorders>
            <w:noWrap/>
            <w:vAlign w:val="center"/>
          </w:tcPr>
          <w:p w14:paraId="2C0CA165">
            <w:pPr>
              <w:widowControl/>
              <w:spacing w:line="240" w:lineRule="atLeast"/>
              <w:ind w:left="-107" w:leftChars="-51" w:right="-107" w:rightChars="-51"/>
              <w:jc w:val="center"/>
              <w:rPr>
                <w:rFonts w:hint="eastAsia" w:hAnsi="宋体" w:cs="宋体"/>
                <w:b/>
                <w:color w:val="auto"/>
                <w:kern w:val="0"/>
                <w:szCs w:val="21"/>
                <w:highlight w:val="none"/>
              </w:rPr>
            </w:pPr>
            <w:r>
              <w:rPr>
                <w:rFonts w:hint="eastAsia" w:hAnsi="宋体" w:cs="宋体"/>
                <w:b/>
                <w:color w:val="auto"/>
                <w:kern w:val="0"/>
                <w:szCs w:val="21"/>
                <w:highlight w:val="none"/>
              </w:rPr>
              <w:t>10</w:t>
            </w:r>
          </w:p>
        </w:tc>
        <w:tc>
          <w:tcPr>
            <w:tcW w:w="666" w:type="pct"/>
            <w:tcBorders>
              <w:top w:val="nil"/>
              <w:left w:val="nil"/>
              <w:bottom w:val="single" w:color="auto" w:sz="4" w:space="0"/>
              <w:right w:val="single" w:color="auto" w:sz="4" w:space="0"/>
            </w:tcBorders>
            <w:noWrap w:val="0"/>
            <w:vAlign w:val="center"/>
          </w:tcPr>
          <w:p w14:paraId="705E0D4D">
            <w:pPr>
              <w:spacing w:line="240" w:lineRule="atLeast"/>
              <w:ind w:left="-27" w:leftChars="-13" w:right="-65" w:rightChars="-31"/>
              <w:jc w:val="left"/>
              <w:rPr>
                <w:rFonts w:hint="eastAsia" w:hAnsi="宋体" w:cs="宋体"/>
                <w:b/>
                <w:color w:val="auto"/>
                <w:kern w:val="0"/>
                <w:szCs w:val="21"/>
                <w:highlight w:val="none"/>
              </w:rPr>
            </w:pPr>
            <w:r>
              <w:rPr>
                <w:rFonts w:hint="eastAsia" w:hAnsi="宋体" w:cs="宋体"/>
                <w:b/>
                <w:color w:val="auto"/>
                <w:kern w:val="0"/>
                <w:szCs w:val="21"/>
                <w:highlight w:val="none"/>
              </w:rPr>
              <w:t>餐饮业</w:t>
            </w:r>
          </w:p>
        </w:tc>
        <w:tc>
          <w:tcPr>
            <w:tcW w:w="405" w:type="pct"/>
            <w:tcBorders>
              <w:top w:val="nil"/>
              <w:left w:val="nil"/>
              <w:bottom w:val="single" w:color="auto" w:sz="4" w:space="0"/>
              <w:right w:val="single" w:color="auto" w:sz="4" w:space="0"/>
            </w:tcBorders>
            <w:noWrap/>
            <w:vAlign w:val="center"/>
          </w:tcPr>
          <w:p w14:paraId="5FE7F8DE">
            <w:pPr>
              <w:widowControl/>
              <w:spacing w:line="240" w:lineRule="atLeast"/>
              <w:ind w:left="-107" w:leftChars="-51" w:right="-107" w:rightChars="-51"/>
              <w:jc w:val="center"/>
              <w:rPr>
                <w:rFonts w:hint="eastAsia" w:hAnsi="宋体" w:cs="宋体"/>
                <w:color w:val="auto"/>
                <w:kern w:val="0"/>
                <w:szCs w:val="21"/>
                <w:highlight w:val="none"/>
              </w:rPr>
            </w:pPr>
            <w:r>
              <w:rPr>
                <w:rFonts w:hint="eastAsia" w:hAnsi="宋体" w:cs="宋体"/>
                <w:color w:val="auto"/>
                <w:kern w:val="0"/>
                <w:szCs w:val="21"/>
                <w:highlight w:val="none"/>
              </w:rPr>
              <w:t>≥10000</w:t>
            </w:r>
          </w:p>
        </w:tc>
        <w:tc>
          <w:tcPr>
            <w:tcW w:w="332" w:type="pct"/>
            <w:tcBorders>
              <w:top w:val="nil"/>
              <w:left w:val="nil"/>
              <w:bottom w:val="single" w:color="auto" w:sz="4" w:space="0"/>
              <w:right w:val="single" w:color="auto" w:sz="4" w:space="0"/>
            </w:tcBorders>
            <w:noWrap/>
            <w:vAlign w:val="center"/>
          </w:tcPr>
          <w:p w14:paraId="5AF5C5D5">
            <w:pPr>
              <w:widowControl/>
              <w:spacing w:line="240" w:lineRule="atLeast"/>
              <w:ind w:left="-107" w:leftChars="-51" w:right="-107" w:rightChars="-51"/>
              <w:jc w:val="center"/>
              <w:rPr>
                <w:rFonts w:hint="eastAsia" w:hAnsi="宋体" w:cs="宋体"/>
                <w:color w:val="auto"/>
                <w:kern w:val="0"/>
                <w:szCs w:val="21"/>
                <w:highlight w:val="none"/>
              </w:rPr>
            </w:pPr>
            <w:r>
              <w:rPr>
                <w:rFonts w:hint="eastAsia" w:hAnsi="宋体" w:cs="宋体"/>
                <w:color w:val="auto"/>
                <w:kern w:val="0"/>
                <w:szCs w:val="21"/>
                <w:highlight w:val="none"/>
              </w:rPr>
              <w:t>≥300</w:t>
            </w:r>
          </w:p>
        </w:tc>
        <w:tc>
          <w:tcPr>
            <w:tcW w:w="316" w:type="pct"/>
            <w:tcBorders>
              <w:top w:val="nil"/>
              <w:left w:val="nil"/>
              <w:bottom w:val="single" w:color="auto" w:sz="4" w:space="0"/>
              <w:right w:val="single" w:color="auto" w:sz="4" w:space="0"/>
            </w:tcBorders>
            <w:noWrap/>
            <w:vAlign w:val="center"/>
          </w:tcPr>
          <w:p w14:paraId="7CA81216">
            <w:pPr>
              <w:widowControl/>
              <w:spacing w:line="240" w:lineRule="atLeast"/>
              <w:ind w:left="-107" w:leftChars="-51" w:right="-107" w:rightChars="-51"/>
              <w:jc w:val="center"/>
              <w:rPr>
                <w:rFonts w:hint="eastAsia" w:hAnsi="宋体" w:cs="宋体"/>
                <w:color w:val="auto"/>
                <w:kern w:val="0"/>
                <w:szCs w:val="21"/>
                <w:highlight w:val="none"/>
              </w:rPr>
            </w:pPr>
            <w:r>
              <w:rPr>
                <w:rFonts w:hint="eastAsia" w:hAnsi="宋体" w:cs="宋体"/>
                <w:color w:val="auto"/>
                <w:kern w:val="0"/>
                <w:szCs w:val="21"/>
                <w:highlight w:val="none"/>
              </w:rPr>
              <w:t>　</w:t>
            </w:r>
          </w:p>
        </w:tc>
        <w:tc>
          <w:tcPr>
            <w:tcW w:w="374" w:type="pct"/>
            <w:tcBorders>
              <w:top w:val="nil"/>
              <w:left w:val="nil"/>
              <w:bottom w:val="single" w:color="auto" w:sz="4" w:space="0"/>
              <w:right w:val="single" w:color="auto" w:sz="4" w:space="0"/>
            </w:tcBorders>
            <w:noWrap/>
            <w:vAlign w:val="center"/>
          </w:tcPr>
          <w:p w14:paraId="307DFAC4">
            <w:pPr>
              <w:widowControl/>
              <w:spacing w:line="240" w:lineRule="atLeast"/>
              <w:ind w:left="-107" w:leftChars="-51" w:right="-107" w:rightChars="-51"/>
              <w:jc w:val="center"/>
              <w:rPr>
                <w:rFonts w:hint="eastAsia" w:hAnsi="宋体" w:cs="宋体"/>
                <w:color w:val="auto"/>
                <w:kern w:val="0"/>
                <w:szCs w:val="21"/>
                <w:highlight w:val="none"/>
              </w:rPr>
            </w:pPr>
            <w:r>
              <w:rPr>
                <w:rFonts w:hint="eastAsia" w:hAnsi="宋体" w:cs="宋体"/>
                <w:color w:val="auto"/>
                <w:kern w:val="0"/>
                <w:szCs w:val="21"/>
                <w:highlight w:val="none"/>
              </w:rPr>
              <w:t>≥2000</w:t>
            </w:r>
          </w:p>
        </w:tc>
        <w:tc>
          <w:tcPr>
            <w:tcW w:w="332" w:type="pct"/>
            <w:tcBorders>
              <w:top w:val="nil"/>
              <w:left w:val="nil"/>
              <w:bottom w:val="single" w:color="auto" w:sz="4" w:space="0"/>
              <w:right w:val="single" w:color="auto" w:sz="4" w:space="0"/>
            </w:tcBorders>
            <w:noWrap/>
            <w:vAlign w:val="center"/>
          </w:tcPr>
          <w:p w14:paraId="10D5DADE">
            <w:pPr>
              <w:widowControl/>
              <w:spacing w:line="240" w:lineRule="atLeast"/>
              <w:ind w:left="-107" w:leftChars="-51" w:right="-107" w:rightChars="-51"/>
              <w:jc w:val="center"/>
              <w:rPr>
                <w:rFonts w:hint="eastAsia" w:hAnsi="宋体" w:cs="宋体"/>
                <w:color w:val="auto"/>
                <w:kern w:val="0"/>
                <w:szCs w:val="21"/>
                <w:highlight w:val="none"/>
              </w:rPr>
            </w:pPr>
            <w:r>
              <w:rPr>
                <w:rFonts w:hint="eastAsia" w:hAnsi="宋体" w:cs="宋体"/>
                <w:color w:val="auto"/>
                <w:kern w:val="0"/>
                <w:szCs w:val="21"/>
                <w:highlight w:val="none"/>
              </w:rPr>
              <w:t>≥100</w:t>
            </w:r>
          </w:p>
        </w:tc>
        <w:tc>
          <w:tcPr>
            <w:tcW w:w="336" w:type="pct"/>
            <w:tcBorders>
              <w:top w:val="nil"/>
              <w:left w:val="nil"/>
              <w:bottom w:val="single" w:color="auto" w:sz="4" w:space="0"/>
              <w:right w:val="single" w:color="auto" w:sz="4" w:space="0"/>
            </w:tcBorders>
            <w:noWrap/>
            <w:vAlign w:val="center"/>
          </w:tcPr>
          <w:p w14:paraId="1248A296">
            <w:pPr>
              <w:widowControl/>
              <w:spacing w:line="240" w:lineRule="atLeast"/>
              <w:jc w:val="center"/>
              <w:rPr>
                <w:rFonts w:hint="eastAsia" w:hAnsi="宋体" w:cs="宋体"/>
                <w:color w:val="auto"/>
                <w:kern w:val="0"/>
                <w:szCs w:val="21"/>
                <w:highlight w:val="none"/>
              </w:rPr>
            </w:pPr>
            <w:r>
              <w:rPr>
                <w:rFonts w:hint="eastAsia" w:hAnsi="宋体" w:cs="宋体"/>
                <w:color w:val="auto"/>
                <w:kern w:val="0"/>
                <w:szCs w:val="21"/>
                <w:highlight w:val="none"/>
              </w:rPr>
              <w:t>　</w:t>
            </w:r>
          </w:p>
        </w:tc>
        <w:tc>
          <w:tcPr>
            <w:tcW w:w="374" w:type="pct"/>
            <w:tcBorders>
              <w:top w:val="nil"/>
              <w:left w:val="nil"/>
              <w:bottom w:val="single" w:color="auto" w:sz="4" w:space="0"/>
              <w:right w:val="single" w:color="auto" w:sz="4" w:space="0"/>
            </w:tcBorders>
            <w:noWrap/>
            <w:vAlign w:val="center"/>
          </w:tcPr>
          <w:p w14:paraId="17F627D8">
            <w:pPr>
              <w:widowControl/>
              <w:spacing w:line="240" w:lineRule="atLeast"/>
              <w:jc w:val="center"/>
              <w:rPr>
                <w:rFonts w:hint="eastAsia" w:hAnsi="宋体" w:cs="宋体"/>
                <w:color w:val="auto"/>
                <w:kern w:val="0"/>
                <w:szCs w:val="21"/>
                <w:highlight w:val="none"/>
              </w:rPr>
            </w:pPr>
            <w:r>
              <w:rPr>
                <w:rFonts w:hint="eastAsia" w:hAnsi="宋体" w:cs="宋体"/>
                <w:color w:val="auto"/>
                <w:kern w:val="0"/>
                <w:szCs w:val="21"/>
                <w:highlight w:val="none"/>
              </w:rPr>
              <w:t>≥100</w:t>
            </w:r>
          </w:p>
        </w:tc>
        <w:tc>
          <w:tcPr>
            <w:tcW w:w="332" w:type="pct"/>
            <w:tcBorders>
              <w:top w:val="nil"/>
              <w:left w:val="nil"/>
              <w:bottom w:val="single" w:color="auto" w:sz="4" w:space="0"/>
              <w:right w:val="single" w:color="auto" w:sz="4" w:space="0"/>
            </w:tcBorders>
            <w:noWrap/>
            <w:vAlign w:val="center"/>
          </w:tcPr>
          <w:p w14:paraId="7D9C7C75">
            <w:pPr>
              <w:widowControl/>
              <w:spacing w:line="240" w:lineRule="atLeast"/>
              <w:jc w:val="center"/>
              <w:rPr>
                <w:rFonts w:hint="eastAsia" w:hAnsi="宋体" w:cs="宋体"/>
                <w:color w:val="auto"/>
                <w:kern w:val="0"/>
                <w:szCs w:val="21"/>
                <w:highlight w:val="none"/>
              </w:rPr>
            </w:pPr>
            <w:r>
              <w:rPr>
                <w:rFonts w:hint="eastAsia" w:hAnsi="宋体" w:cs="宋体"/>
                <w:color w:val="auto"/>
                <w:kern w:val="0"/>
                <w:szCs w:val="21"/>
                <w:highlight w:val="none"/>
              </w:rPr>
              <w:t>≥10</w:t>
            </w:r>
          </w:p>
        </w:tc>
        <w:tc>
          <w:tcPr>
            <w:tcW w:w="338" w:type="pct"/>
            <w:tcBorders>
              <w:top w:val="nil"/>
              <w:left w:val="nil"/>
              <w:bottom w:val="single" w:color="auto" w:sz="4" w:space="0"/>
              <w:right w:val="single" w:color="auto" w:sz="4" w:space="0"/>
            </w:tcBorders>
            <w:noWrap/>
            <w:vAlign w:val="center"/>
          </w:tcPr>
          <w:p w14:paraId="180D8430">
            <w:pPr>
              <w:widowControl/>
              <w:spacing w:line="240" w:lineRule="atLeast"/>
              <w:jc w:val="center"/>
              <w:rPr>
                <w:rFonts w:hint="eastAsia" w:hAnsi="宋体" w:cs="宋体"/>
                <w:color w:val="auto"/>
                <w:kern w:val="0"/>
                <w:szCs w:val="21"/>
                <w:highlight w:val="none"/>
              </w:rPr>
            </w:pPr>
            <w:r>
              <w:rPr>
                <w:rFonts w:hint="eastAsia" w:hAnsi="宋体" w:cs="宋体"/>
                <w:color w:val="auto"/>
                <w:kern w:val="0"/>
                <w:szCs w:val="21"/>
                <w:highlight w:val="none"/>
              </w:rPr>
              <w:t>　</w:t>
            </w:r>
          </w:p>
        </w:tc>
        <w:tc>
          <w:tcPr>
            <w:tcW w:w="374" w:type="pct"/>
            <w:tcBorders>
              <w:top w:val="nil"/>
              <w:left w:val="nil"/>
              <w:bottom w:val="single" w:color="auto" w:sz="4" w:space="0"/>
              <w:right w:val="single" w:color="auto" w:sz="4" w:space="0"/>
            </w:tcBorders>
            <w:noWrap/>
            <w:vAlign w:val="center"/>
          </w:tcPr>
          <w:p w14:paraId="68614724">
            <w:pPr>
              <w:widowControl/>
              <w:spacing w:line="240" w:lineRule="atLeast"/>
              <w:jc w:val="center"/>
              <w:rPr>
                <w:rFonts w:hint="eastAsia" w:hAnsi="宋体" w:cs="宋体"/>
                <w:color w:val="auto"/>
                <w:kern w:val="0"/>
                <w:szCs w:val="21"/>
                <w:highlight w:val="none"/>
              </w:rPr>
            </w:pPr>
            <w:r>
              <w:rPr>
                <w:rFonts w:hint="eastAsia" w:hAnsi="宋体" w:cs="宋体"/>
                <w:color w:val="auto"/>
                <w:kern w:val="0"/>
                <w:szCs w:val="21"/>
                <w:highlight w:val="none"/>
              </w:rPr>
              <w:t>＜100</w:t>
            </w:r>
          </w:p>
        </w:tc>
        <w:tc>
          <w:tcPr>
            <w:tcW w:w="332" w:type="pct"/>
            <w:tcBorders>
              <w:top w:val="nil"/>
              <w:left w:val="nil"/>
              <w:bottom w:val="single" w:color="auto" w:sz="4" w:space="0"/>
              <w:right w:val="single" w:color="auto" w:sz="4" w:space="0"/>
            </w:tcBorders>
            <w:noWrap/>
            <w:vAlign w:val="center"/>
          </w:tcPr>
          <w:p w14:paraId="5671EEE9">
            <w:pPr>
              <w:widowControl/>
              <w:spacing w:line="240" w:lineRule="atLeast"/>
              <w:jc w:val="center"/>
              <w:rPr>
                <w:rFonts w:hint="eastAsia" w:hAnsi="宋体" w:cs="宋体"/>
                <w:color w:val="auto"/>
                <w:kern w:val="0"/>
                <w:szCs w:val="21"/>
                <w:highlight w:val="none"/>
              </w:rPr>
            </w:pPr>
            <w:r>
              <w:rPr>
                <w:rFonts w:hint="eastAsia" w:hAnsi="宋体" w:cs="宋体"/>
                <w:color w:val="auto"/>
                <w:kern w:val="0"/>
                <w:szCs w:val="21"/>
                <w:highlight w:val="none"/>
              </w:rPr>
              <w:t>＜10</w:t>
            </w:r>
          </w:p>
        </w:tc>
        <w:tc>
          <w:tcPr>
            <w:tcW w:w="296" w:type="pct"/>
            <w:tcBorders>
              <w:top w:val="nil"/>
              <w:left w:val="nil"/>
              <w:bottom w:val="single" w:color="auto" w:sz="4" w:space="0"/>
              <w:right w:val="single" w:color="auto" w:sz="4" w:space="0"/>
            </w:tcBorders>
            <w:noWrap/>
            <w:vAlign w:val="center"/>
          </w:tcPr>
          <w:p w14:paraId="355C8453">
            <w:pPr>
              <w:widowControl/>
              <w:spacing w:line="240" w:lineRule="atLeast"/>
              <w:jc w:val="center"/>
              <w:rPr>
                <w:rFonts w:hint="eastAsia" w:hAnsi="宋体" w:cs="宋体"/>
                <w:color w:val="auto"/>
                <w:kern w:val="0"/>
                <w:szCs w:val="21"/>
                <w:highlight w:val="none"/>
              </w:rPr>
            </w:pPr>
            <w:r>
              <w:rPr>
                <w:rFonts w:hint="eastAsia" w:hAnsi="宋体" w:cs="宋体"/>
                <w:color w:val="auto"/>
                <w:kern w:val="0"/>
                <w:szCs w:val="21"/>
                <w:highlight w:val="none"/>
              </w:rPr>
              <w:t>　</w:t>
            </w:r>
          </w:p>
        </w:tc>
      </w:tr>
      <w:tr w14:paraId="62129775">
        <w:tblPrEx>
          <w:tblCellMar>
            <w:top w:w="0" w:type="dxa"/>
            <w:left w:w="108" w:type="dxa"/>
            <w:bottom w:w="0" w:type="dxa"/>
            <w:right w:w="108" w:type="dxa"/>
          </w:tblCellMar>
        </w:tblPrEx>
        <w:trPr>
          <w:trHeight w:val="363" w:hRule="atLeast"/>
          <w:jc w:val="center"/>
        </w:trPr>
        <w:tc>
          <w:tcPr>
            <w:tcW w:w="183" w:type="pct"/>
            <w:tcBorders>
              <w:top w:val="nil"/>
              <w:left w:val="single" w:color="auto" w:sz="4" w:space="0"/>
              <w:bottom w:val="single" w:color="auto" w:sz="4" w:space="0"/>
              <w:right w:val="single" w:color="auto" w:sz="4" w:space="0"/>
            </w:tcBorders>
            <w:noWrap/>
            <w:vAlign w:val="center"/>
          </w:tcPr>
          <w:p w14:paraId="536AEF46">
            <w:pPr>
              <w:widowControl/>
              <w:spacing w:line="240" w:lineRule="atLeast"/>
              <w:ind w:left="-107" w:leftChars="-51" w:right="-107" w:rightChars="-51"/>
              <w:jc w:val="center"/>
              <w:rPr>
                <w:rFonts w:hint="eastAsia" w:hAnsi="宋体" w:cs="宋体"/>
                <w:b/>
                <w:color w:val="auto"/>
                <w:kern w:val="0"/>
                <w:szCs w:val="21"/>
                <w:highlight w:val="none"/>
              </w:rPr>
            </w:pPr>
            <w:r>
              <w:rPr>
                <w:rFonts w:hint="eastAsia" w:hAnsi="宋体" w:cs="宋体"/>
                <w:b/>
                <w:color w:val="auto"/>
                <w:kern w:val="0"/>
                <w:szCs w:val="21"/>
                <w:highlight w:val="none"/>
              </w:rPr>
              <w:t>11</w:t>
            </w:r>
          </w:p>
        </w:tc>
        <w:tc>
          <w:tcPr>
            <w:tcW w:w="666" w:type="pct"/>
            <w:tcBorders>
              <w:top w:val="nil"/>
              <w:left w:val="nil"/>
              <w:bottom w:val="single" w:color="auto" w:sz="4" w:space="0"/>
              <w:right w:val="single" w:color="auto" w:sz="4" w:space="0"/>
            </w:tcBorders>
            <w:noWrap w:val="0"/>
            <w:vAlign w:val="center"/>
          </w:tcPr>
          <w:p w14:paraId="1DD3AAE9">
            <w:pPr>
              <w:spacing w:line="240" w:lineRule="atLeast"/>
              <w:ind w:left="-27" w:leftChars="-13" w:right="-65" w:rightChars="-31"/>
              <w:jc w:val="left"/>
              <w:rPr>
                <w:rFonts w:hint="eastAsia" w:hAnsi="宋体" w:cs="宋体"/>
                <w:b/>
                <w:color w:val="auto"/>
                <w:kern w:val="0"/>
                <w:szCs w:val="21"/>
                <w:highlight w:val="none"/>
              </w:rPr>
            </w:pPr>
            <w:r>
              <w:rPr>
                <w:rFonts w:hint="eastAsia" w:hAnsi="宋体" w:cs="宋体"/>
                <w:b/>
                <w:color w:val="auto"/>
                <w:kern w:val="0"/>
                <w:szCs w:val="21"/>
                <w:highlight w:val="none"/>
              </w:rPr>
              <w:t>信息传输业</w:t>
            </w:r>
          </w:p>
        </w:tc>
        <w:tc>
          <w:tcPr>
            <w:tcW w:w="405" w:type="pct"/>
            <w:tcBorders>
              <w:top w:val="nil"/>
              <w:left w:val="nil"/>
              <w:bottom w:val="single" w:color="auto" w:sz="4" w:space="0"/>
              <w:right w:val="single" w:color="auto" w:sz="4" w:space="0"/>
            </w:tcBorders>
            <w:noWrap/>
            <w:vAlign w:val="center"/>
          </w:tcPr>
          <w:p w14:paraId="73167A5C">
            <w:pPr>
              <w:widowControl/>
              <w:spacing w:line="240" w:lineRule="atLeast"/>
              <w:ind w:left="-107" w:leftChars="-51" w:right="-107" w:rightChars="-51"/>
              <w:jc w:val="center"/>
              <w:rPr>
                <w:rFonts w:hint="eastAsia" w:hAnsi="宋体" w:cs="宋体"/>
                <w:color w:val="auto"/>
                <w:kern w:val="0"/>
                <w:szCs w:val="21"/>
                <w:highlight w:val="none"/>
              </w:rPr>
            </w:pPr>
            <w:r>
              <w:rPr>
                <w:rFonts w:hint="eastAsia" w:hAnsi="宋体" w:cs="宋体"/>
                <w:color w:val="auto"/>
                <w:kern w:val="0"/>
                <w:szCs w:val="21"/>
                <w:highlight w:val="none"/>
              </w:rPr>
              <w:t>≥100000</w:t>
            </w:r>
          </w:p>
        </w:tc>
        <w:tc>
          <w:tcPr>
            <w:tcW w:w="332" w:type="pct"/>
            <w:tcBorders>
              <w:top w:val="nil"/>
              <w:left w:val="nil"/>
              <w:bottom w:val="single" w:color="auto" w:sz="4" w:space="0"/>
              <w:right w:val="single" w:color="auto" w:sz="4" w:space="0"/>
            </w:tcBorders>
            <w:noWrap/>
            <w:vAlign w:val="center"/>
          </w:tcPr>
          <w:p w14:paraId="0786F114">
            <w:pPr>
              <w:widowControl/>
              <w:spacing w:line="240" w:lineRule="atLeast"/>
              <w:ind w:left="-107" w:leftChars="-51" w:right="-107" w:rightChars="-51"/>
              <w:jc w:val="center"/>
              <w:rPr>
                <w:rFonts w:hint="eastAsia" w:hAnsi="宋体" w:cs="宋体"/>
                <w:color w:val="auto"/>
                <w:kern w:val="0"/>
                <w:szCs w:val="21"/>
                <w:highlight w:val="none"/>
              </w:rPr>
            </w:pPr>
            <w:r>
              <w:rPr>
                <w:rFonts w:hint="eastAsia" w:hAnsi="宋体" w:cs="宋体"/>
                <w:color w:val="auto"/>
                <w:kern w:val="0"/>
                <w:szCs w:val="21"/>
                <w:highlight w:val="none"/>
              </w:rPr>
              <w:t>≥2000</w:t>
            </w:r>
          </w:p>
        </w:tc>
        <w:tc>
          <w:tcPr>
            <w:tcW w:w="316" w:type="pct"/>
            <w:tcBorders>
              <w:top w:val="nil"/>
              <w:left w:val="nil"/>
              <w:bottom w:val="single" w:color="auto" w:sz="4" w:space="0"/>
              <w:right w:val="single" w:color="auto" w:sz="4" w:space="0"/>
            </w:tcBorders>
            <w:noWrap/>
            <w:vAlign w:val="center"/>
          </w:tcPr>
          <w:p w14:paraId="5F186914">
            <w:pPr>
              <w:widowControl/>
              <w:spacing w:line="240" w:lineRule="atLeast"/>
              <w:ind w:left="-107" w:leftChars="-51" w:right="-107" w:rightChars="-51"/>
              <w:jc w:val="center"/>
              <w:rPr>
                <w:rFonts w:hint="eastAsia" w:hAnsi="宋体" w:cs="宋体"/>
                <w:color w:val="auto"/>
                <w:kern w:val="0"/>
                <w:szCs w:val="21"/>
                <w:highlight w:val="none"/>
              </w:rPr>
            </w:pPr>
            <w:r>
              <w:rPr>
                <w:rFonts w:hint="eastAsia" w:hAnsi="宋体" w:cs="宋体"/>
                <w:color w:val="auto"/>
                <w:kern w:val="0"/>
                <w:szCs w:val="21"/>
                <w:highlight w:val="none"/>
              </w:rPr>
              <w:t>　</w:t>
            </w:r>
          </w:p>
        </w:tc>
        <w:tc>
          <w:tcPr>
            <w:tcW w:w="374" w:type="pct"/>
            <w:tcBorders>
              <w:top w:val="nil"/>
              <w:left w:val="nil"/>
              <w:bottom w:val="single" w:color="auto" w:sz="4" w:space="0"/>
              <w:right w:val="single" w:color="auto" w:sz="4" w:space="0"/>
            </w:tcBorders>
            <w:noWrap/>
            <w:vAlign w:val="center"/>
          </w:tcPr>
          <w:p w14:paraId="320073E6">
            <w:pPr>
              <w:widowControl/>
              <w:spacing w:line="240" w:lineRule="atLeast"/>
              <w:ind w:left="-107" w:leftChars="-51" w:right="-107" w:rightChars="-51"/>
              <w:jc w:val="center"/>
              <w:rPr>
                <w:rFonts w:hint="eastAsia" w:hAnsi="宋体" w:cs="宋体"/>
                <w:color w:val="auto"/>
                <w:kern w:val="0"/>
                <w:szCs w:val="21"/>
                <w:highlight w:val="none"/>
              </w:rPr>
            </w:pPr>
            <w:r>
              <w:rPr>
                <w:rFonts w:hint="eastAsia" w:hAnsi="宋体" w:cs="宋体"/>
                <w:color w:val="auto"/>
                <w:kern w:val="0"/>
                <w:szCs w:val="21"/>
                <w:highlight w:val="none"/>
              </w:rPr>
              <w:t>≥1000</w:t>
            </w:r>
          </w:p>
        </w:tc>
        <w:tc>
          <w:tcPr>
            <w:tcW w:w="332" w:type="pct"/>
            <w:tcBorders>
              <w:top w:val="nil"/>
              <w:left w:val="nil"/>
              <w:bottom w:val="single" w:color="auto" w:sz="4" w:space="0"/>
              <w:right w:val="single" w:color="auto" w:sz="4" w:space="0"/>
            </w:tcBorders>
            <w:noWrap/>
            <w:vAlign w:val="center"/>
          </w:tcPr>
          <w:p w14:paraId="374AAAA1">
            <w:pPr>
              <w:widowControl/>
              <w:spacing w:line="240" w:lineRule="atLeast"/>
              <w:ind w:left="-107" w:leftChars="-51" w:right="-107" w:rightChars="-51"/>
              <w:jc w:val="center"/>
              <w:rPr>
                <w:rFonts w:hint="eastAsia" w:hAnsi="宋体" w:cs="宋体"/>
                <w:color w:val="auto"/>
                <w:kern w:val="0"/>
                <w:szCs w:val="21"/>
                <w:highlight w:val="none"/>
              </w:rPr>
            </w:pPr>
            <w:r>
              <w:rPr>
                <w:rFonts w:hint="eastAsia" w:hAnsi="宋体" w:cs="宋体"/>
                <w:color w:val="auto"/>
                <w:kern w:val="0"/>
                <w:szCs w:val="21"/>
                <w:highlight w:val="none"/>
              </w:rPr>
              <w:t>≥100</w:t>
            </w:r>
          </w:p>
        </w:tc>
        <w:tc>
          <w:tcPr>
            <w:tcW w:w="336" w:type="pct"/>
            <w:tcBorders>
              <w:top w:val="nil"/>
              <w:left w:val="nil"/>
              <w:bottom w:val="single" w:color="auto" w:sz="4" w:space="0"/>
              <w:right w:val="single" w:color="auto" w:sz="4" w:space="0"/>
            </w:tcBorders>
            <w:noWrap/>
            <w:vAlign w:val="center"/>
          </w:tcPr>
          <w:p w14:paraId="193AB7B4">
            <w:pPr>
              <w:widowControl/>
              <w:spacing w:line="240" w:lineRule="atLeast"/>
              <w:jc w:val="center"/>
              <w:rPr>
                <w:rFonts w:hint="eastAsia" w:hAnsi="宋体" w:cs="宋体"/>
                <w:color w:val="auto"/>
                <w:kern w:val="0"/>
                <w:szCs w:val="21"/>
                <w:highlight w:val="none"/>
              </w:rPr>
            </w:pPr>
            <w:r>
              <w:rPr>
                <w:rFonts w:hint="eastAsia" w:hAnsi="宋体" w:cs="宋体"/>
                <w:color w:val="auto"/>
                <w:kern w:val="0"/>
                <w:szCs w:val="21"/>
                <w:highlight w:val="none"/>
              </w:rPr>
              <w:t>　</w:t>
            </w:r>
          </w:p>
        </w:tc>
        <w:tc>
          <w:tcPr>
            <w:tcW w:w="374" w:type="pct"/>
            <w:tcBorders>
              <w:top w:val="nil"/>
              <w:left w:val="nil"/>
              <w:bottom w:val="single" w:color="auto" w:sz="4" w:space="0"/>
              <w:right w:val="single" w:color="auto" w:sz="4" w:space="0"/>
            </w:tcBorders>
            <w:noWrap/>
            <w:vAlign w:val="center"/>
          </w:tcPr>
          <w:p w14:paraId="4AAD1119">
            <w:pPr>
              <w:widowControl/>
              <w:spacing w:line="240" w:lineRule="atLeast"/>
              <w:jc w:val="center"/>
              <w:rPr>
                <w:rFonts w:hint="eastAsia" w:hAnsi="宋体" w:cs="宋体"/>
                <w:color w:val="auto"/>
                <w:kern w:val="0"/>
                <w:szCs w:val="21"/>
                <w:highlight w:val="none"/>
              </w:rPr>
            </w:pPr>
            <w:r>
              <w:rPr>
                <w:rFonts w:hint="eastAsia" w:hAnsi="宋体" w:cs="宋体"/>
                <w:color w:val="auto"/>
                <w:kern w:val="0"/>
                <w:szCs w:val="21"/>
                <w:highlight w:val="none"/>
              </w:rPr>
              <w:t>≥100</w:t>
            </w:r>
          </w:p>
        </w:tc>
        <w:tc>
          <w:tcPr>
            <w:tcW w:w="332" w:type="pct"/>
            <w:tcBorders>
              <w:top w:val="nil"/>
              <w:left w:val="nil"/>
              <w:bottom w:val="single" w:color="auto" w:sz="4" w:space="0"/>
              <w:right w:val="single" w:color="auto" w:sz="4" w:space="0"/>
            </w:tcBorders>
            <w:noWrap/>
            <w:vAlign w:val="center"/>
          </w:tcPr>
          <w:p w14:paraId="1E880986">
            <w:pPr>
              <w:widowControl/>
              <w:spacing w:line="240" w:lineRule="atLeast"/>
              <w:jc w:val="center"/>
              <w:rPr>
                <w:rFonts w:hint="eastAsia" w:hAnsi="宋体" w:cs="宋体"/>
                <w:color w:val="auto"/>
                <w:kern w:val="0"/>
                <w:szCs w:val="21"/>
                <w:highlight w:val="none"/>
              </w:rPr>
            </w:pPr>
            <w:r>
              <w:rPr>
                <w:rFonts w:hint="eastAsia" w:hAnsi="宋体" w:cs="宋体"/>
                <w:color w:val="auto"/>
                <w:kern w:val="0"/>
                <w:szCs w:val="21"/>
                <w:highlight w:val="none"/>
              </w:rPr>
              <w:t>≥10</w:t>
            </w:r>
          </w:p>
        </w:tc>
        <w:tc>
          <w:tcPr>
            <w:tcW w:w="338" w:type="pct"/>
            <w:tcBorders>
              <w:top w:val="nil"/>
              <w:left w:val="nil"/>
              <w:bottom w:val="single" w:color="auto" w:sz="4" w:space="0"/>
              <w:right w:val="single" w:color="auto" w:sz="4" w:space="0"/>
            </w:tcBorders>
            <w:noWrap/>
            <w:vAlign w:val="center"/>
          </w:tcPr>
          <w:p w14:paraId="2293D86B">
            <w:pPr>
              <w:widowControl/>
              <w:spacing w:line="240" w:lineRule="atLeast"/>
              <w:jc w:val="center"/>
              <w:rPr>
                <w:rFonts w:hint="eastAsia" w:hAnsi="宋体" w:cs="宋体"/>
                <w:color w:val="auto"/>
                <w:kern w:val="0"/>
                <w:szCs w:val="21"/>
                <w:highlight w:val="none"/>
              </w:rPr>
            </w:pPr>
            <w:r>
              <w:rPr>
                <w:rFonts w:hint="eastAsia" w:hAnsi="宋体" w:cs="宋体"/>
                <w:color w:val="auto"/>
                <w:kern w:val="0"/>
                <w:szCs w:val="21"/>
                <w:highlight w:val="none"/>
              </w:rPr>
              <w:t>　</w:t>
            </w:r>
          </w:p>
        </w:tc>
        <w:tc>
          <w:tcPr>
            <w:tcW w:w="374" w:type="pct"/>
            <w:tcBorders>
              <w:top w:val="nil"/>
              <w:left w:val="nil"/>
              <w:bottom w:val="single" w:color="auto" w:sz="4" w:space="0"/>
              <w:right w:val="single" w:color="auto" w:sz="4" w:space="0"/>
            </w:tcBorders>
            <w:noWrap/>
            <w:vAlign w:val="center"/>
          </w:tcPr>
          <w:p w14:paraId="4FB96F5D">
            <w:pPr>
              <w:widowControl/>
              <w:spacing w:line="240" w:lineRule="atLeast"/>
              <w:jc w:val="center"/>
              <w:rPr>
                <w:rFonts w:hint="eastAsia" w:hAnsi="宋体" w:cs="宋体"/>
                <w:color w:val="auto"/>
                <w:kern w:val="0"/>
                <w:szCs w:val="21"/>
                <w:highlight w:val="none"/>
              </w:rPr>
            </w:pPr>
            <w:r>
              <w:rPr>
                <w:rFonts w:hint="eastAsia" w:hAnsi="宋体" w:cs="宋体"/>
                <w:color w:val="auto"/>
                <w:kern w:val="0"/>
                <w:szCs w:val="21"/>
                <w:highlight w:val="none"/>
              </w:rPr>
              <w:t>＜100</w:t>
            </w:r>
          </w:p>
        </w:tc>
        <w:tc>
          <w:tcPr>
            <w:tcW w:w="332" w:type="pct"/>
            <w:tcBorders>
              <w:top w:val="nil"/>
              <w:left w:val="nil"/>
              <w:bottom w:val="single" w:color="auto" w:sz="4" w:space="0"/>
              <w:right w:val="single" w:color="auto" w:sz="4" w:space="0"/>
            </w:tcBorders>
            <w:noWrap/>
            <w:vAlign w:val="center"/>
          </w:tcPr>
          <w:p w14:paraId="63DB1CC4">
            <w:pPr>
              <w:widowControl/>
              <w:spacing w:line="240" w:lineRule="atLeast"/>
              <w:jc w:val="center"/>
              <w:rPr>
                <w:rFonts w:hint="eastAsia" w:hAnsi="宋体" w:cs="宋体"/>
                <w:color w:val="auto"/>
                <w:kern w:val="0"/>
                <w:szCs w:val="21"/>
                <w:highlight w:val="none"/>
              </w:rPr>
            </w:pPr>
            <w:r>
              <w:rPr>
                <w:rFonts w:hint="eastAsia" w:hAnsi="宋体" w:cs="宋体"/>
                <w:color w:val="auto"/>
                <w:kern w:val="0"/>
                <w:szCs w:val="21"/>
                <w:highlight w:val="none"/>
              </w:rPr>
              <w:t>＜10</w:t>
            </w:r>
          </w:p>
        </w:tc>
        <w:tc>
          <w:tcPr>
            <w:tcW w:w="296" w:type="pct"/>
            <w:tcBorders>
              <w:top w:val="nil"/>
              <w:left w:val="nil"/>
              <w:bottom w:val="single" w:color="auto" w:sz="4" w:space="0"/>
              <w:right w:val="single" w:color="auto" w:sz="4" w:space="0"/>
            </w:tcBorders>
            <w:noWrap/>
            <w:vAlign w:val="center"/>
          </w:tcPr>
          <w:p w14:paraId="6CD98761">
            <w:pPr>
              <w:widowControl/>
              <w:spacing w:line="240" w:lineRule="atLeast"/>
              <w:jc w:val="center"/>
              <w:rPr>
                <w:rFonts w:hint="eastAsia" w:hAnsi="宋体" w:cs="宋体"/>
                <w:color w:val="auto"/>
                <w:kern w:val="0"/>
                <w:szCs w:val="21"/>
                <w:highlight w:val="none"/>
              </w:rPr>
            </w:pPr>
            <w:r>
              <w:rPr>
                <w:rFonts w:hint="eastAsia" w:hAnsi="宋体" w:cs="宋体"/>
                <w:color w:val="auto"/>
                <w:kern w:val="0"/>
                <w:szCs w:val="21"/>
                <w:highlight w:val="none"/>
              </w:rPr>
              <w:t>　</w:t>
            </w:r>
          </w:p>
        </w:tc>
      </w:tr>
      <w:tr w14:paraId="38F38C9F">
        <w:tblPrEx>
          <w:tblCellMar>
            <w:top w:w="0" w:type="dxa"/>
            <w:left w:w="108" w:type="dxa"/>
            <w:bottom w:w="0" w:type="dxa"/>
            <w:right w:w="108" w:type="dxa"/>
          </w:tblCellMar>
        </w:tblPrEx>
        <w:trPr>
          <w:trHeight w:val="713" w:hRule="atLeast"/>
          <w:jc w:val="center"/>
        </w:trPr>
        <w:tc>
          <w:tcPr>
            <w:tcW w:w="183" w:type="pct"/>
            <w:tcBorders>
              <w:top w:val="nil"/>
              <w:left w:val="single" w:color="auto" w:sz="4" w:space="0"/>
              <w:bottom w:val="single" w:color="auto" w:sz="4" w:space="0"/>
              <w:right w:val="single" w:color="auto" w:sz="4" w:space="0"/>
            </w:tcBorders>
            <w:noWrap/>
            <w:vAlign w:val="center"/>
          </w:tcPr>
          <w:p w14:paraId="545BBEFB">
            <w:pPr>
              <w:widowControl/>
              <w:spacing w:line="240" w:lineRule="atLeast"/>
              <w:ind w:left="-107" w:leftChars="-51" w:right="-107" w:rightChars="-51"/>
              <w:jc w:val="center"/>
              <w:rPr>
                <w:rFonts w:hint="eastAsia" w:hAnsi="宋体" w:cs="宋体"/>
                <w:b/>
                <w:color w:val="auto"/>
                <w:kern w:val="0"/>
                <w:szCs w:val="21"/>
                <w:highlight w:val="none"/>
              </w:rPr>
            </w:pPr>
            <w:r>
              <w:rPr>
                <w:rFonts w:hint="eastAsia" w:hAnsi="宋体" w:cs="宋体"/>
                <w:b/>
                <w:color w:val="auto"/>
                <w:kern w:val="0"/>
                <w:szCs w:val="21"/>
                <w:highlight w:val="none"/>
              </w:rPr>
              <w:t>12</w:t>
            </w:r>
          </w:p>
        </w:tc>
        <w:tc>
          <w:tcPr>
            <w:tcW w:w="666" w:type="pct"/>
            <w:tcBorders>
              <w:top w:val="nil"/>
              <w:left w:val="nil"/>
              <w:bottom w:val="single" w:color="auto" w:sz="4" w:space="0"/>
              <w:right w:val="single" w:color="auto" w:sz="4" w:space="0"/>
            </w:tcBorders>
            <w:noWrap w:val="0"/>
            <w:vAlign w:val="center"/>
          </w:tcPr>
          <w:p w14:paraId="4E9DAF8D">
            <w:pPr>
              <w:spacing w:line="240" w:lineRule="atLeast"/>
              <w:ind w:left="-27" w:leftChars="-13" w:right="-65" w:rightChars="-31"/>
              <w:jc w:val="left"/>
              <w:rPr>
                <w:rFonts w:hint="eastAsia" w:hAnsi="宋体" w:cs="宋体"/>
                <w:b/>
                <w:color w:val="auto"/>
                <w:kern w:val="0"/>
                <w:szCs w:val="21"/>
                <w:highlight w:val="none"/>
              </w:rPr>
            </w:pPr>
            <w:r>
              <w:rPr>
                <w:rFonts w:hint="eastAsia" w:hAnsi="宋体" w:cs="宋体"/>
                <w:b/>
                <w:color w:val="auto"/>
                <w:kern w:val="0"/>
                <w:szCs w:val="21"/>
                <w:highlight w:val="none"/>
              </w:rPr>
              <w:t>软件和信息技术服务业</w:t>
            </w:r>
          </w:p>
        </w:tc>
        <w:tc>
          <w:tcPr>
            <w:tcW w:w="405" w:type="pct"/>
            <w:tcBorders>
              <w:top w:val="nil"/>
              <w:left w:val="nil"/>
              <w:bottom w:val="single" w:color="auto" w:sz="4" w:space="0"/>
              <w:right w:val="single" w:color="auto" w:sz="4" w:space="0"/>
            </w:tcBorders>
            <w:noWrap/>
            <w:vAlign w:val="center"/>
          </w:tcPr>
          <w:p w14:paraId="064C0BE0">
            <w:pPr>
              <w:widowControl/>
              <w:spacing w:line="240" w:lineRule="atLeast"/>
              <w:ind w:left="-107" w:leftChars="-51" w:right="-107" w:rightChars="-51"/>
              <w:jc w:val="center"/>
              <w:rPr>
                <w:rFonts w:hint="eastAsia" w:hAnsi="宋体" w:cs="宋体"/>
                <w:color w:val="auto"/>
                <w:kern w:val="0"/>
                <w:szCs w:val="21"/>
                <w:highlight w:val="none"/>
              </w:rPr>
            </w:pPr>
            <w:r>
              <w:rPr>
                <w:rFonts w:hint="eastAsia" w:hAnsi="宋体" w:cs="宋体"/>
                <w:color w:val="auto"/>
                <w:kern w:val="0"/>
                <w:szCs w:val="21"/>
                <w:highlight w:val="none"/>
              </w:rPr>
              <w:t>≥10000</w:t>
            </w:r>
          </w:p>
        </w:tc>
        <w:tc>
          <w:tcPr>
            <w:tcW w:w="332" w:type="pct"/>
            <w:tcBorders>
              <w:top w:val="nil"/>
              <w:left w:val="nil"/>
              <w:bottom w:val="single" w:color="auto" w:sz="4" w:space="0"/>
              <w:right w:val="single" w:color="auto" w:sz="4" w:space="0"/>
            </w:tcBorders>
            <w:noWrap/>
            <w:vAlign w:val="center"/>
          </w:tcPr>
          <w:p w14:paraId="35A6836F">
            <w:pPr>
              <w:widowControl/>
              <w:spacing w:line="240" w:lineRule="atLeast"/>
              <w:ind w:left="-107" w:leftChars="-51" w:right="-107" w:rightChars="-51"/>
              <w:jc w:val="center"/>
              <w:rPr>
                <w:rFonts w:hint="eastAsia" w:hAnsi="宋体" w:cs="宋体"/>
                <w:color w:val="auto"/>
                <w:kern w:val="0"/>
                <w:szCs w:val="21"/>
                <w:highlight w:val="none"/>
              </w:rPr>
            </w:pPr>
            <w:r>
              <w:rPr>
                <w:rFonts w:hint="eastAsia" w:hAnsi="宋体" w:cs="宋体"/>
                <w:color w:val="auto"/>
                <w:kern w:val="0"/>
                <w:szCs w:val="21"/>
                <w:highlight w:val="none"/>
              </w:rPr>
              <w:t>≥300</w:t>
            </w:r>
          </w:p>
        </w:tc>
        <w:tc>
          <w:tcPr>
            <w:tcW w:w="316" w:type="pct"/>
            <w:tcBorders>
              <w:top w:val="nil"/>
              <w:left w:val="nil"/>
              <w:bottom w:val="single" w:color="auto" w:sz="4" w:space="0"/>
              <w:right w:val="single" w:color="auto" w:sz="4" w:space="0"/>
            </w:tcBorders>
            <w:noWrap/>
            <w:vAlign w:val="center"/>
          </w:tcPr>
          <w:p w14:paraId="7A60B02E">
            <w:pPr>
              <w:widowControl/>
              <w:spacing w:line="240" w:lineRule="atLeast"/>
              <w:ind w:left="-107" w:leftChars="-51" w:right="-107" w:rightChars="-51"/>
              <w:jc w:val="center"/>
              <w:rPr>
                <w:rFonts w:hint="eastAsia" w:hAnsi="宋体" w:cs="宋体"/>
                <w:color w:val="auto"/>
                <w:kern w:val="0"/>
                <w:szCs w:val="21"/>
                <w:highlight w:val="none"/>
              </w:rPr>
            </w:pPr>
            <w:r>
              <w:rPr>
                <w:rFonts w:hint="eastAsia" w:hAnsi="宋体" w:cs="宋体"/>
                <w:color w:val="auto"/>
                <w:kern w:val="0"/>
                <w:szCs w:val="21"/>
                <w:highlight w:val="none"/>
              </w:rPr>
              <w:t>　</w:t>
            </w:r>
          </w:p>
        </w:tc>
        <w:tc>
          <w:tcPr>
            <w:tcW w:w="374" w:type="pct"/>
            <w:tcBorders>
              <w:top w:val="nil"/>
              <w:left w:val="nil"/>
              <w:bottom w:val="single" w:color="auto" w:sz="4" w:space="0"/>
              <w:right w:val="single" w:color="auto" w:sz="4" w:space="0"/>
            </w:tcBorders>
            <w:noWrap/>
            <w:vAlign w:val="center"/>
          </w:tcPr>
          <w:p w14:paraId="17DF9F0B">
            <w:pPr>
              <w:widowControl/>
              <w:spacing w:line="240" w:lineRule="atLeast"/>
              <w:ind w:left="-107" w:leftChars="-51" w:right="-107" w:rightChars="-51"/>
              <w:jc w:val="center"/>
              <w:rPr>
                <w:rFonts w:hint="eastAsia" w:hAnsi="宋体" w:cs="宋体"/>
                <w:color w:val="auto"/>
                <w:kern w:val="0"/>
                <w:szCs w:val="21"/>
                <w:highlight w:val="none"/>
              </w:rPr>
            </w:pPr>
            <w:r>
              <w:rPr>
                <w:rFonts w:hint="eastAsia" w:hAnsi="宋体" w:cs="宋体"/>
                <w:color w:val="auto"/>
                <w:kern w:val="0"/>
                <w:szCs w:val="21"/>
                <w:highlight w:val="none"/>
              </w:rPr>
              <w:t>≥1000</w:t>
            </w:r>
          </w:p>
        </w:tc>
        <w:tc>
          <w:tcPr>
            <w:tcW w:w="332" w:type="pct"/>
            <w:tcBorders>
              <w:top w:val="nil"/>
              <w:left w:val="nil"/>
              <w:bottom w:val="single" w:color="auto" w:sz="4" w:space="0"/>
              <w:right w:val="single" w:color="auto" w:sz="4" w:space="0"/>
            </w:tcBorders>
            <w:noWrap/>
            <w:vAlign w:val="center"/>
          </w:tcPr>
          <w:p w14:paraId="599463C9">
            <w:pPr>
              <w:widowControl/>
              <w:spacing w:line="240" w:lineRule="atLeast"/>
              <w:ind w:left="-107" w:leftChars="-51" w:right="-107" w:rightChars="-51"/>
              <w:jc w:val="center"/>
              <w:rPr>
                <w:rFonts w:hint="eastAsia" w:hAnsi="宋体" w:cs="宋体"/>
                <w:color w:val="auto"/>
                <w:kern w:val="0"/>
                <w:szCs w:val="21"/>
                <w:highlight w:val="none"/>
              </w:rPr>
            </w:pPr>
            <w:r>
              <w:rPr>
                <w:rFonts w:hint="eastAsia" w:hAnsi="宋体" w:cs="宋体"/>
                <w:color w:val="auto"/>
                <w:kern w:val="0"/>
                <w:szCs w:val="21"/>
                <w:highlight w:val="none"/>
              </w:rPr>
              <w:t>≥100</w:t>
            </w:r>
          </w:p>
        </w:tc>
        <w:tc>
          <w:tcPr>
            <w:tcW w:w="336" w:type="pct"/>
            <w:tcBorders>
              <w:top w:val="nil"/>
              <w:left w:val="nil"/>
              <w:bottom w:val="single" w:color="auto" w:sz="4" w:space="0"/>
              <w:right w:val="single" w:color="auto" w:sz="4" w:space="0"/>
            </w:tcBorders>
            <w:noWrap/>
            <w:vAlign w:val="center"/>
          </w:tcPr>
          <w:p w14:paraId="1A85C6CB">
            <w:pPr>
              <w:widowControl/>
              <w:spacing w:line="240" w:lineRule="atLeast"/>
              <w:jc w:val="center"/>
              <w:rPr>
                <w:rFonts w:hint="eastAsia" w:hAnsi="宋体" w:cs="宋体"/>
                <w:color w:val="auto"/>
                <w:kern w:val="0"/>
                <w:szCs w:val="21"/>
                <w:highlight w:val="none"/>
              </w:rPr>
            </w:pPr>
            <w:r>
              <w:rPr>
                <w:rFonts w:hint="eastAsia" w:hAnsi="宋体" w:cs="宋体"/>
                <w:color w:val="auto"/>
                <w:kern w:val="0"/>
                <w:szCs w:val="21"/>
                <w:highlight w:val="none"/>
              </w:rPr>
              <w:t>　</w:t>
            </w:r>
          </w:p>
        </w:tc>
        <w:tc>
          <w:tcPr>
            <w:tcW w:w="374" w:type="pct"/>
            <w:tcBorders>
              <w:top w:val="nil"/>
              <w:left w:val="nil"/>
              <w:bottom w:val="single" w:color="auto" w:sz="4" w:space="0"/>
              <w:right w:val="single" w:color="auto" w:sz="4" w:space="0"/>
            </w:tcBorders>
            <w:noWrap/>
            <w:vAlign w:val="center"/>
          </w:tcPr>
          <w:p w14:paraId="12366B1E">
            <w:pPr>
              <w:widowControl/>
              <w:spacing w:line="240" w:lineRule="atLeast"/>
              <w:jc w:val="center"/>
              <w:rPr>
                <w:rFonts w:hint="eastAsia" w:hAnsi="宋体" w:cs="宋体"/>
                <w:color w:val="auto"/>
                <w:kern w:val="0"/>
                <w:szCs w:val="21"/>
                <w:highlight w:val="none"/>
              </w:rPr>
            </w:pPr>
            <w:r>
              <w:rPr>
                <w:rFonts w:hint="eastAsia" w:hAnsi="宋体" w:cs="宋体"/>
                <w:color w:val="auto"/>
                <w:kern w:val="0"/>
                <w:szCs w:val="21"/>
                <w:highlight w:val="none"/>
              </w:rPr>
              <w:t>≥50</w:t>
            </w:r>
          </w:p>
        </w:tc>
        <w:tc>
          <w:tcPr>
            <w:tcW w:w="332" w:type="pct"/>
            <w:tcBorders>
              <w:top w:val="nil"/>
              <w:left w:val="nil"/>
              <w:bottom w:val="single" w:color="auto" w:sz="4" w:space="0"/>
              <w:right w:val="single" w:color="auto" w:sz="4" w:space="0"/>
            </w:tcBorders>
            <w:noWrap/>
            <w:vAlign w:val="center"/>
          </w:tcPr>
          <w:p w14:paraId="4F443E93">
            <w:pPr>
              <w:widowControl/>
              <w:spacing w:line="240" w:lineRule="atLeast"/>
              <w:jc w:val="center"/>
              <w:rPr>
                <w:rFonts w:hint="eastAsia" w:hAnsi="宋体" w:cs="宋体"/>
                <w:color w:val="auto"/>
                <w:kern w:val="0"/>
                <w:szCs w:val="21"/>
                <w:highlight w:val="none"/>
              </w:rPr>
            </w:pPr>
            <w:r>
              <w:rPr>
                <w:rFonts w:hint="eastAsia" w:hAnsi="宋体" w:cs="宋体"/>
                <w:color w:val="auto"/>
                <w:kern w:val="0"/>
                <w:szCs w:val="21"/>
                <w:highlight w:val="none"/>
              </w:rPr>
              <w:t>≥10</w:t>
            </w:r>
          </w:p>
        </w:tc>
        <w:tc>
          <w:tcPr>
            <w:tcW w:w="338" w:type="pct"/>
            <w:tcBorders>
              <w:top w:val="nil"/>
              <w:left w:val="nil"/>
              <w:bottom w:val="single" w:color="auto" w:sz="4" w:space="0"/>
              <w:right w:val="single" w:color="auto" w:sz="4" w:space="0"/>
            </w:tcBorders>
            <w:noWrap/>
            <w:vAlign w:val="center"/>
          </w:tcPr>
          <w:p w14:paraId="293D595C">
            <w:pPr>
              <w:widowControl/>
              <w:spacing w:line="240" w:lineRule="atLeast"/>
              <w:jc w:val="center"/>
              <w:rPr>
                <w:rFonts w:hint="eastAsia" w:hAnsi="宋体" w:cs="宋体"/>
                <w:color w:val="auto"/>
                <w:kern w:val="0"/>
                <w:szCs w:val="21"/>
                <w:highlight w:val="none"/>
              </w:rPr>
            </w:pPr>
            <w:r>
              <w:rPr>
                <w:rFonts w:hint="eastAsia" w:hAnsi="宋体" w:cs="宋体"/>
                <w:color w:val="auto"/>
                <w:kern w:val="0"/>
                <w:szCs w:val="21"/>
                <w:highlight w:val="none"/>
              </w:rPr>
              <w:t>　</w:t>
            </w:r>
          </w:p>
        </w:tc>
        <w:tc>
          <w:tcPr>
            <w:tcW w:w="374" w:type="pct"/>
            <w:tcBorders>
              <w:top w:val="nil"/>
              <w:left w:val="nil"/>
              <w:bottom w:val="single" w:color="auto" w:sz="4" w:space="0"/>
              <w:right w:val="single" w:color="auto" w:sz="4" w:space="0"/>
            </w:tcBorders>
            <w:noWrap/>
            <w:vAlign w:val="center"/>
          </w:tcPr>
          <w:p w14:paraId="10A35280">
            <w:pPr>
              <w:widowControl/>
              <w:spacing w:line="240" w:lineRule="atLeast"/>
              <w:jc w:val="center"/>
              <w:rPr>
                <w:rFonts w:hint="eastAsia" w:hAnsi="宋体" w:cs="宋体"/>
                <w:color w:val="auto"/>
                <w:kern w:val="0"/>
                <w:szCs w:val="21"/>
                <w:highlight w:val="none"/>
              </w:rPr>
            </w:pPr>
            <w:r>
              <w:rPr>
                <w:rFonts w:hint="eastAsia" w:hAnsi="宋体" w:cs="宋体"/>
                <w:color w:val="auto"/>
                <w:kern w:val="0"/>
                <w:szCs w:val="21"/>
                <w:highlight w:val="none"/>
              </w:rPr>
              <w:t>＜50</w:t>
            </w:r>
          </w:p>
        </w:tc>
        <w:tc>
          <w:tcPr>
            <w:tcW w:w="332" w:type="pct"/>
            <w:tcBorders>
              <w:top w:val="nil"/>
              <w:left w:val="nil"/>
              <w:bottom w:val="single" w:color="auto" w:sz="4" w:space="0"/>
              <w:right w:val="single" w:color="auto" w:sz="4" w:space="0"/>
            </w:tcBorders>
            <w:noWrap/>
            <w:vAlign w:val="center"/>
          </w:tcPr>
          <w:p w14:paraId="1D44D2DF">
            <w:pPr>
              <w:widowControl/>
              <w:spacing w:line="240" w:lineRule="atLeast"/>
              <w:jc w:val="center"/>
              <w:rPr>
                <w:rFonts w:hint="eastAsia" w:hAnsi="宋体" w:cs="宋体"/>
                <w:color w:val="auto"/>
                <w:kern w:val="0"/>
                <w:szCs w:val="21"/>
                <w:highlight w:val="none"/>
              </w:rPr>
            </w:pPr>
            <w:r>
              <w:rPr>
                <w:rFonts w:hint="eastAsia" w:hAnsi="宋体" w:cs="宋体"/>
                <w:color w:val="auto"/>
                <w:kern w:val="0"/>
                <w:szCs w:val="21"/>
                <w:highlight w:val="none"/>
              </w:rPr>
              <w:t>＜10</w:t>
            </w:r>
          </w:p>
        </w:tc>
        <w:tc>
          <w:tcPr>
            <w:tcW w:w="296" w:type="pct"/>
            <w:tcBorders>
              <w:top w:val="nil"/>
              <w:left w:val="nil"/>
              <w:bottom w:val="single" w:color="auto" w:sz="4" w:space="0"/>
              <w:right w:val="single" w:color="auto" w:sz="4" w:space="0"/>
            </w:tcBorders>
            <w:noWrap/>
            <w:vAlign w:val="center"/>
          </w:tcPr>
          <w:p w14:paraId="5D41A417">
            <w:pPr>
              <w:widowControl/>
              <w:spacing w:line="240" w:lineRule="atLeast"/>
              <w:jc w:val="center"/>
              <w:rPr>
                <w:rFonts w:hint="eastAsia" w:hAnsi="宋体" w:cs="宋体"/>
                <w:color w:val="auto"/>
                <w:kern w:val="0"/>
                <w:szCs w:val="21"/>
                <w:highlight w:val="none"/>
              </w:rPr>
            </w:pPr>
            <w:r>
              <w:rPr>
                <w:rFonts w:hint="eastAsia" w:hAnsi="宋体" w:cs="宋体"/>
                <w:color w:val="auto"/>
                <w:kern w:val="0"/>
                <w:szCs w:val="21"/>
                <w:highlight w:val="none"/>
              </w:rPr>
              <w:t>　</w:t>
            </w:r>
          </w:p>
        </w:tc>
      </w:tr>
      <w:tr w14:paraId="600EB0AE">
        <w:tblPrEx>
          <w:tblCellMar>
            <w:top w:w="0" w:type="dxa"/>
            <w:left w:w="108" w:type="dxa"/>
            <w:bottom w:w="0" w:type="dxa"/>
            <w:right w:w="108" w:type="dxa"/>
          </w:tblCellMar>
        </w:tblPrEx>
        <w:trPr>
          <w:trHeight w:val="363" w:hRule="atLeast"/>
          <w:jc w:val="center"/>
        </w:trPr>
        <w:tc>
          <w:tcPr>
            <w:tcW w:w="183" w:type="pct"/>
            <w:tcBorders>
              <w:top w:val="nil"/>
              <w:left w:val="single" w:color="auto" w:sz="4" w:space="0"/>
              <w:bottom w:val="single" w:color="auto" w:sz="4" w:space="0"/>
              <w:right w:val="single" w:color="auto" w:sz="4" w:space="0"/>
            </w:tcBorders>
            <w:noWrap/>
            <w:vAlign w:val="center"/>
          </w:tcPr>
          <w:p w14:paraId="34605A05">
            <w:pPr>
              <w:widowControl/>
              <w:spacing w:line="240" w:lineRule="atLeast"/>
              <w:ind w:left="-107" w:leftChars="-51" w:right="-107" w:rightChars="-51"/>
              <w:jc w:val="center"/>
              <w:rPr>
                <w:rFonts w:hint="eastAsia" w:hAnsi="宋体" w:cs="宋体"/>
                <w:b/>
                <w:color w:val="auto"/>
                <w:kern w:val="0"/>
                <w:szCs w:val="21"/>
                <w:highlight w:val="none"/>
              </w:rPr>
            </w:pPr>
            <w:r>
              <w:rPr>
                <w:rFonts w:hint="eastAsia" w:hAnsi="宋体" w:cs="宋体"/>
                <w:b/>
                <w:color w:val="auto"/>
                <w:kern w:val="0"/>
                <w:szCs w:val="21"/>
                <w:highlight w:val="none"/>
              </w:rPr>
              <w:t>13</w:t>
            </w:r>
          </w:p>
        </w:tc>
        <w:tc>
          <w:tcPr>
            <w:tcW w:w="666" w:type="pct"/>
            <w:tcBorders>
              <w:top w:val="nil"/>
              <w:left w:val="nil"/>
              <w:bottom w:val="single" w:color="auto" w:sz="4" w:space="0"/>
              <w:right w:val="single" w:color="auto" w:sz="4" w:space="0"/>
            </w:tcBorders>
            <w:noWrap w:val="0"/>
            <w:vAlign w:val="center"/>
          </w:tcPr>
          <w:p w14:paraId="78DA930D">
            <w:pPr>
              <w:spacing w:line="240" w:lineRule="atLeast"/>
              <w:ind w:left="-27" w:leftChars="-13" w:right="-65" w:rightChars="-31"/>
              <w:jc w:val="left"/>
              <w:rPr>
                <w:rFonts w:hint="eastAsia" w:hAnsi="宋体" w:cs="宋体"/>
                <w:b/>
                <w:color w:val="auto"/>
                <w:kern w:val="0"/>
                <w:szCs w:val="21"/>
                <w:highlight w:val="none"/>
              </w:rPr>
            </w:pPr>
            <w:r>
              <w:rPr>
                <w:rFonts w:hint="eastAsia" w:hAnsi="宋体" w:cs="宋体"/>
                <w:b/>
                <w:color w:val="auto"/>
                <w:kern w:val="0"/>
                <w:szCs w:val="21"/>
                <w:highlight w:val="none"/>
              </w:rPr>
              <w:t>房地产开发经营</w:t>
            </w:r>
          </w:p>
        </w:tc>
        <w:tc>
          <w:tcPr>
            <w:tcW w:w="405" w:type="pct"/>
            <w:tcBorders>
              <w:top w:val="nil"/>
              <w:left w:val="nil"/>
              <w:bottom w:val="single" w:color="auto" w:sz="4" w:space="0"/>
              <w:right w:val="single" w:color="auto" w:sz="4" w:space="0"/>
            </w:tcBorders>
            <w:noWrap/>
            <w:vAlign w:val="center"/>
          </w:tcPr>
          <w:p w14:paraId="069B6CD3">
            <w:pPr>
              <w:widowControl/>
              <w:spacing w:line="240" w:lineRule="atLeast"/>
              <w:ind w:left="-107" w:leftChars="-51" w:right="-107" w:rightChars="-51"/>
              <w:jc w:val="center"/>
              <w:rPr>
                <w:rFonts w:hint="eastAsia" w:hAnsi="宋体" w:cs="宋体"/>
                <w:color w:val="auto"/>
                <w:kern w:val="0"/>
                <w:szCs w:val="21"/>
                <w:highlight w:val="none"/>
              </w:rPr>
            </w:pPr>
            <w:r>
              <w:rPr>
                <w:rFonts w:hint="eastAsia" w:hAnsi="宋体" w:cs="宋体"/>
                <w:color w:val="auto"/>
                <w:kern w:val="0"/>
                <w:szCs w:val="21"/>
                <w:highlight w:val="none"/>
              </w:rPr>
              <w:t>≥200000</w:t>
            </w:r>
          </w:p>
        </w:tc>
        <w:tc>
          <w:tcPr>
            <w:tcW w:w="332" w:type="pct"/>
            <w:tcBorders>
              <w:top w:val="nil"/>
              <w:left w:val="nil"/>
              <w:bottom w:val="single" w:color="auto" w:sz="4" w:space="0"/>
              <w:right w:val="single" w:color="auto" w:sz="4" w:space="0"/>
            </w:tcBorders>
            <w:noWrap/>
            <w:vAlign w:val="center"/>
          </w:tcPr>
          <w:p w14:paraId="25C3B098">
            <w:pPr>
              <w:widowControl/>
              <w:spacing w:line="240" w:lineRule="atLeast"/>
              <w:ind w:left="-107" w:leftChars="-51" w:right="-107" w:rightChars="-51"/>
              <w:jc w:val="center"/>
              <w:rPr>
                <w:rFonts w:hint="eastAsia" w:hAnsi="宋体" w:cs="宋体"/>
                <w:color w:val="auto"/>
                <w:kern w:val="0"/>
                <w:szCs w:val="21"/>
                <w:highlight w:val="none"/>
              </w:rPr>
            </w:pPr>
            <w:r>
              <w:rPr>
                <w:rFonts w:hint="eastAsia" w:hAnsi="宋体" w:cs="宋体"/>
                <w:color w:val="auto"/>
                <w:kern w:val="0"/>
                <w:szCs w:val="21"/>
                <w:highlight w:val="none"/>
              </w:rPr>
              <w:t>　</w:t>
            </w:r>
          </w:p>
        </w:tc>
        <w:tc>
          <w:tcPr>
            <w:tcW w:w="316" w:type="pct"/>
            <w:tcBorders>
              <w:top w:val="nil"/>
              <w:left w:val="nil"/>
              <w:bottom w:val="single" w:color="auto" w:sz="4" w:space="0"/>
              <w:right w:val="single" w:color="auto" w:sz="4" w:space="0"/>
            </w:tcBorders>
            <w:noWrap/>
            <w:vAlign w:val="center"/>
          </w:tcPr>
          <w:p w14:paraId="54B6B730">
            <w:pPr>
              <w:widowControl/>
              <w:spacing w:line="240" w:lineRule="atLeast"/>
              <w:ind w:left="-107" w:leftChars="-51" w:right="-107" w:rightChars="-51"/>
              <w:jc w:val="center"/>
              <w:rPr>
                <w:rFonts w:hint="eastAsia" w:hAnsi="宋体" w:cs="宋体"/>
                <w:color w:val="auto"/>
                <w:kern w:val="0"/>
                <w:szCs w:val="21"/>
                <w:highlight w:val="none"/>
              </w:rPr>
            </w:pPr>
            <w:r>
              <w:rPr>
                <w:rFonts w:hint="eastAsia" w:hAnsi="宋体" w:cs="宋体"/>
                <w:color w:val="auto"/>
                <w:kern w:val="0"/>
                <w:szCs w:val="21"/>
                <w:highlight w:val="none"/>
              </w:rPr>
              <w:t>≥10000</w:t>
            </w:r>
          </w:p>
        </w:tc>
        <w:tc>
          <w:tcPr>
            <w:tcW w:w="374" w:type="pct"/>
            <w:tcBorders>
              <w:top w:val="nil"/>
              <w:left w:val="nil"/>
              <w:bottom w:val="single" w:color="auto" w:sz="4" w:space="0"/>
              <w:right w:val="single" w:color="auto" w:sz="4" w:space="0"/>
            </w:tcBorders>
            <w:noWrap/>
            <w:vAlign w:val="center"/>
          </w:tcPr>
          <w:p w14:paraId="3A1C3EA8">
            <w:pPr>
              <w:widowControl/>
              <w:spacing w:line="240" w:lineRule="atLeast"/>
              <w:ind w:left="-107" w:leftChars="-51" w:right="-107" w:rightChars="-51"/>
              <w:jc w:val="center"/>
              <w:rPr>
                <w:rFonts w:hint="eastAsia" w:hAnsi="宋体" w:cs="宋体"/>
                <w:color w:val="auto"/>
                <w:kern w:val="0"/>
                <w:szCs w:val="21"/>
                <w:highlight w:val="none"/>
              </w:rPr>
            </w:pPr>
            <w:r>
              <w:rPr>
                <w:rFonts w:hint="eastAsia" w:hAnsi="宋体" w:cs="宋体"/>
                <w:color w:val="auto"/>
                <w:kern w:val="0"/>
                <w:szCs w:val="21"/>
                <w:highlight w:val="none"/>
              </w:rPr>
              <w:t>≥1000</w:t>
            </w:r>
          </w:p>
        </w:tc>
        <w:tc>
          <w:tcPr>
            <w:tcW w:w="332" w:type="pct"/>
            <w:tcBorders>
              <w:top w:val="nil"/>
              <w:left w:val="nil"/>
              <w:bottom w:val="single" w:color="auto" w:sz="4" w:space="0"/>
              <w:right w:val="single" w:color="auto" w:sz="4" w:space="0"/>
            </w:tcBorders>
            <w:noWrap/>
            <w:vAlign w:val="center"/>
          </w:tcPr>
          <w:p w14:paraId="720810E1">
            <w:pPr>
              <w:widowControl/>
              <w:spacing w:line="240" w:lineRule="atLeast"/>
              <w:ind w:left="-107" w:leftChars="-51" w:right="-107" w:rightChars="-51"/>
              <w:jc w:val="center"/>
              <w:rPr>
                <w:rFonts w:hint="eastAsia" w:hAnsi="宋体" w:cs="宋体"/>
                <w:color w:val="auto"/>
                <w:kern w:val="0"/>
                <w:szCs w:val="21"/>
                <w:highlight w:val="none"/>
              </w:rPr>
            </w:pPr>
            <w:r>
              <w:rPr>
                <w:rFonts w:hint="eastAsia" w:hAnsi="宋体" w:cs="宋体"/>
                <w:color w:val="auto"/>
                <w:kern w:val="0"/>
                <w:szCs w:val="21"/>
                <w:highlight w:val="none"/>
              </w:rPr>
              <w:t>　</w:t>
            </w:r>
          </w:p>
        </w:tc>
        <w:tc>
          <w:tcPr>
            <w:tcW w:w="336" w:type="pct"/>
            <w:tcBorders>
              <w:top w:val="nil"/>
              <w:left w:val="nil"/>
              <w:bottom w:val="single" w:color="auto" w:sz="4" w:space="0"/>
              <w:right w:val="single" w:color="auto" w:sz="4" w:space="0"/>
            </w:tcBorders>
            <w:noWrap/>
            <w:vAlign w:val="center"/>
          </w:tcPr>
          <w:p w14:paraId="6370BDC1">
            <w:pPr>
              <w:widowControl/>
              <w:spacing w:line="240" w:lineRule="atLeast"/>
              <w:jc w:val="center"/>
              <w:rPr>
                <w:rFonts w:hint="eastAsia" w:hAnsi="宋体" w:cs="宋体"/>
                <w:color w:val="auto"/>
                <w:kern w:val="0"/>
                <w:szCs w:val="21"/>
                <w:highlight w:val="none"/>
              </w:rPr>
            </w:pPr>
            <w:r>
              <w:rPr>
                <w:rFonts w:hint="eastAsia" w:hAnsi="宋体" w:cs="宋体"/>
                <w:color w:val="auto"/>
                <w:kern w:val="0"/>
                <w:szCs w:val="21"/>
                <w:highlight w:val="none"/>
              </w:rPr>
              <w:t>≥5000</w:t>
            </w:r>
          </w:p>
        </w:tc>
        <w:tc>
          <w:tcPr>
            <w:tcW w:w="374" w:type="pct"/>
            <w:tcBorders>
              <w:top w:val="nil"/>
              <w:left w:val="nil"/>
              <w:bottom w:val="single" w:color="auto" w:sz="4" w:space="0"/>
              <w:right w:val="single" w:color="auto" w:sz="4" w:space="0"/>
            </w:tcBorders>
            <w:noWrap/>
            <w:vAlign w:val="center"/>
          </w:tcPr>
          <w:p w14:paraId="16B873FA">
            <w:pPr>
              <w:widowControl/>
              <w:spacing w:line="240" w:lineRule="atLeast"/>
              <w:jc w:val="center"/>
              <w:rPr>
                <w:rFonts w:hint="eastAsia" w:hAnsi="宋体" w:cs="宋体"/>
                <w:color w:val="auto"/>
                <w:kern w:val="0"/>
                <w:szCs w:val="21"/>
                <w:highlight w:val="none"/>
              </w:rPr>
            </w:pPr>
            <w:r>
              <w:rPr>
                <w:rFonts w:hint="eastAsia" w:hAnsi="宋体" w:cs="宋体"/>
                <w:color w:val="auto"/>
                <w:kern w:val="0"/>
                <w:szCs w:val="21"/>
                <w:highlight w:val="none"/>
              </w:rPr>
              <w:t>≥100</w:t>
            </w:r>
          </w:p>
        </w:tc>
        <w:tc>
          <w:tcPr>
            <w:tcW w:w="332" w:type="pct"/>
            <w:tcBorders>
              <w:top w:val="nil"/>
              <w:left w:val="nil"/>
              <w:bottom w:val="single" w:color="auto" w:sz="4" w:space="0"/>
              <w:right w:val="single" w:color="auto" w:sz="4" w:space="0"/>
            </w:tcBorders>
            <w:noWrap/>
            <w:vAlign w:val="center"/>
          </w:tcPr>
          <w:p w14:paraId="7CD7AB46">
            <w:pPr>
              <w:widowControl/>
              <w:spacing w:line="240" w:lineRule="atLeast"/>
              <w:jc w:val="center"/>
              <w:rPr>
                <w:rFonts w:hint="eastAsia" w:hAnsi="宋体" w:cs="宋体"/>
                <w:color w:val="auto"/>
                <w:kern w:val="0"/>
                <w:szCs w:val="21"/>
                <w:highlight w:val="none"/>
              </w:rPr>
            </w:pPr>
            <w:r>
              <w:rPr>
                <w:rFonts w:hint="eastAsia" w:hAnsi="宋体" w:cs="宋体"/>
                <w:color w:val="auto"/>
                <w:kern w:val="0"/>
                <w:szCs w:val="21"/>
                <w:highlight w:val="none"/>
              </w:rPr>
              <w:t>　</w:t>
            </w:r>
          </w:p>
        </w:tc>
        <w:tc>
          <w:tcPr>
            <w:tcW w:w="338" w:type="pct"/>
            <w:tcBorders>
              <w:top w:val="nil"/>
              <w:left w:val="nil"/>
              <w:bottom w:val="single" w:color="auto" w:sz="4" w:space="0"/>
              <w:right w:val="single" w:color="auto" w:sz="4" w:space="0"/>
            </w:tcBorders>
            <w:noWrap/>
            <w:vAlign w:val="center"/>
          </w:tcPr>
          <w:p w14:paraId="1E40EFA4">
            <w:pPr>
              <w:widowControl/>
              <w:spacing w:line="240" w:lineRule="atLeast"/>
              <w:jc w:val="center"/>
              <w:rPr>
                <w:rFonts w:hint="eastAsia" w:hAnsi="宋体" w:cs="宋体"/>
                <w:color w:val="auto"/>
                <w:kern w:val="0"/>
                <w:szCs w:val="21"/>
                <w:highlight w:val="none"/>
              </w:rPr>
            </w:pPr>
            <w:r>
              <w:rPr>
                <w:rFonts w:hint="eastAsia" w:hAnsi="宋体" w:cs="宋体"/>
                <w:color w:val="auto"/>
                <w:kern w:val="0"/>
                <w:szCs w:val="21"/>
                <w:highlight w:val="none"/>
              </w:rPr>
              <w:t>≥2000</w:t>
            </w:r>
          </w:p>
        </w:tc>
        <w:tc>
          <w:tcPr>
            <w:tcW w:w="374" w:type="pct"/>
            <w:tcBorders>
              <w:top w:val="nil"/>
              <w:left w:val="nil"/>
              <w:bottom w:val="single" w:color="auto" w:sz="4" w:space="0"/>
              <w:right w:val="single" w:color="auto" w:sz="4" w:space="0"/>
            </w:tcBorders>
            <w:noWrap/>
            <w:vAlign w:val="center"/>
          </w:tcPr>
          <w:p w14:paraId="2E5F41BD">
            <w:pPr>
              <w:widowControl/>
              <w:spacing w:line="240" w:lineRule="atLeast"/>
              <w:jc w:val="center"/>
              <w:rPr>
                <w:rFonts w:hint="eastAsia" w:hAnsi="宋体" w:cs="宋体"/>
                <w:color w:val="auto"/>
                <w:kern w:val="0"/>
                <w:szCs w:val="21"/>
                <w:highlight w:val="none"/>
              </w:rPr>
            </w:pPr>
            <w:r>
              <w:rPr>
                <w:rFonts w:hint="eastAsia" w:hAnsi="宋体" w:cs="宋体"/>
                <w:color w:val="auto"/>
                <w:kern w:val="0"/>
                <w:szCs w:val="21"/>
                <w:highlight w:val="none"/>
              </w:rPr>
              <w:t>＜100</w:t>
            </w:r>
          </w:p>
        </w:tc>
        <w:tc>
          <w:tcPr>
            <w:tcW w:w="332" w:type="pct"/>
            <w:tcBorders>
              <w:top w:val="nil"/>
              <w:left w:val="nil"/>
              <w:bottom w:val="single" w:color="auto" w:sz="4" w:space="0"/>
              <w:right w:val="single" w:color="auto" w:sz="4" w:space="0"/>
            </w:tcBorders>
            <w:noWrap/>
            <w:vAlign w:val="center"/>
          </w:tcPr>
          <w:p w14:paraId="0D8A87D3">
            <w:pPr>
              <w:widowControl/>
              <w:spacing w:line="240" w:lineRule="atLeast"/>
              <w:jc w:val="center"/>
              <w:rPr>
                <w:rFonts w:hint="eastAsia" w:hAnsi="宋体" w:cs="宋体"/>
                <w:color w:val="auto"/>
                <w:kern w:val="0"/>
                <w:szCs w:val="21"/>
                <w:highlight w:val="none"/>
              </w:rPr>
            </w:pPr>
            <w:r>
              <w:rPr>
                <w:rFonts w:hint="eastAsia" w:hAnsi="宋体" w:cs="宋体"/>
                <w:color w:val="auto"/>
                <w:kern w:val="0"/>
                <w:szCs w:val="21"/>
                <w:highlight w:val="none"/>
              </w:rPr>
              <w:t>　</w:t>
            </w:r>
          </w:p>
        </w:tc>
        <w:tc>
          <w:tcPr>
            <w:tcW w:w="296" w:type="pct"/>
            <w:tcBorders>
              <w:top w:val="nil"/>
              <w:left w:val="nil"/>
              <w:bottom w:val="single" w:color="auto" w:sz="4" w:space="0"/>
              <w:right w:val="single" w:color="auto" w:sz="4" w:space="0"/>
            </w:tcBorders>
            <w:noWrap/>
            <w:vAlign w:val="center"/>
          </w:tcPr>
          <w:p w14:paraId="64FE0D05">
            <w:pPr>
              <w:widowControl/>
              <w:spacing w:line="240" w:lineRule="atLeast"/>
              <w:jc w:val="center"/>
              <w:rPr>
                <w:rFonts w:hint="eastAsia" w:hAnsi="宋体" w:cs="宋体"/>
                <w:color w:val="auto"/>
                <w:kern w:val="0"/>
                <w:szCs w:val="21"/>
                <w:highlight w:val="none"/>
              </w:rPr>
            </w:pPr>
            <w:r>
              <w:rPr>
                <w:rFonts w:hint="eastAsia" w:hAnsi="宋体" w:cs="宋体"/>
                <w:color w:val="auto"/>
                <w:kern w:val="0"/>
                <w:szCs w:val="21"/>
                <w:highlight w:val="none"/>
              </w:rPr>
              <w:t>＜2000</w:t>
            </w:r>
          </w:p>
        </w:tc>
      </w:tr>
      <w:tr w14:paraId="5A8F84A7">
        <w:tblPrEx>
          <w:tblCellMar>
            <w:top w:w="0" w:type="dxa"/>
            <w:left w:w="108" w:type="dxa"/>
            <w:bottom w:w="0" w:type="dxa"/>
            <w:right w:w="108" w:type="dxa"/>
          </w:tblCellMar>
        </w:tblPrEx>
        <w:trPr>
          <w:trHeight w:val="363" w:hRule="atLeast"/>
          <w:jc w:val="center"/>
        </w:trPr>
        <w:tc>
          <w:tcPr>
            <w:tcW w:w="183" w:type="pct"/>
            <w:tcBorders>
              <w:top w:val="nil"/>
              <w:left w:val="single" w:color="auto" w:sz="4" w:space="0"/>
              <w:bottom w:val="single" w:color="auto" w:sz="4" w:space="0"/>
              <w:right w:val="single" w:color="auto" w:sz="4" w:space="0"/>
            </w:tcBorders>
            <w:noWrap/>
            <w:vAlign w:val="center"/>
          </w:tcPr>
          <w:p w14:paraId="71C4A145">
            <w:pPr>
              <w:widowControl/>
              <w:spacing w:line="240" w:lineRule="atLeast"/>
              <w:ind w:left="-107" w:leftChars="-51" w:right="-107" w:rightChars="-51"/>
              <w:jc w:val="center"/>
              <w:rPr>
                <w:rFonts w:hint="eastAsia" w:hAnsi="宋体" w:cs="宋体"/>
                <w:b/>
                <w:color w:val="auto"/>
                <w:kern w:val="0"/>
                <w:szCs w:val="21"/>
                <w:highlight w:val="none"/>
              </w:rPr>
            </w:pPr>
            <w:r>
              <w:rPr>
                <w:rFonts w:hint="eastAsia" w:hAnsi="宋体" w:cs="宋体"/>
                <w:b/>
                <w:color w:val="auto"/>
                <w:kern w:val="0"/>
                <w:szCs w:val="21"/>
                <w:highlight w:val="none"/>
              </w:rPr>
              <w:t>14</w:t>
            </w:r>
          </w:p>
        </w:tc>
        <w:tc>
          <w:tcPr>
            <w:tcW w:w="666" w:type="pct"/>
            <w:tcBorders>
              <w:top w:val="nil"/>
              <w:left w:val="nil"/>
              <w:bottom w:val="single" w:color="auto" w:sz="4" w:space="0"/>
              <w:right w:val="single" w:color="auto" w:sz="4" w:space="0"/>
            </w:tcBorders>
            <w:noWrap w:val="0"/>
            <w:vAlign w:val="center"/>
          </w:tcPr>
          <w:p w14:paraId="6EC314B3">
            <w:pPr>
              <w:spacing w:line="240" w:lineRule="atLeast"/>
              <w:ind w:left="-27" w:leftChars="-13" w:right="-65" w:rightChars="-31"/>
              <w:jc w:val="left"/>
              <w:rPr>
                <w:rFonts w:hint="eastAsia" w:hAnsi="宋体" w:cs="宋体"/>
                <w:b/>
                <w:color w:val="auto"/>
                <w:kern w:val="0"/>
                <w:szCs w:val="21"/>
                <w:highlight w:val="none"/>
              </w:rPr>
            </w:pPr>
            <w:r>
              <w:rPr>
                <w:rFonts w:hint="eastAsia" w:hAnsi="宋体" w:cs="宋体"/>
                <w:b/>
                <w:color w:val="auto"/>
                <w:kern w:val="0"/>
                <w:szCs w:val="21"/>
                <w:highlight w:val="none"/>
              </w:rPr>
              <w:t>物业管理</w:t>
            </w:r>
          </w:p>
        </w:tc>
        <w:tc>
          <w:tcPr>
            <w:tcW w:w="405" w:type="pct"/>
            <w:tcBorders>
              <w:top w:val="nil"/>
              <w:left w:val="nil"/>
              <w:bottom w:val="single" w:color="auto" w:sz="4" w:space="0"/>
              <w:right w:val="single" w:color="auto" w:sz="4" w:space="0"/>
            </w:tcBorders>
            <w:noWrap/>
            <w:vAlign w:val="center"/>
          </w:tcPr>
          <w:p w14:paraId="24039E1C">
            <w:pPr>
              <w:widowControl/>
              <w:spacing w:line="240" w:lineRule="atLeast"/>
              <w:ind w:left="-107" w:leftChars="-51" w:right="-107" w:rightChars="-51"/>
              <w:jc w:val="center"/>
              <w:rPr>
                <w:rFonts w:hint="eastAsia" w:hAnsi="宋体" w:cs="宋体"/>
                <w:color w:val="auto"/>
                <w:kern w:val="0"/>
                <w:szCs w:val="21"/>
                <w:highlight w:val="none"/>
              </w:rPr>
            </w:pPr>
            <w:r>
              <w:rPr>
                <w:rFonts w:hint="eastAsia" w:hAnsi="宋体" w:cs="宋体"/>
                <w:color w:val="auto"/>
                <w:kern w:val="0"/>
                <w:szCs w:val="21"/>
                <w:highlight w:val="none"/>
              </w:rPr>
              <w:t>≥5000</w:t>
            </w:r>
          </w:p>
        </w:tc>
        <w:tc>
          <w:tcPr>
            <w:tcW w:w="332" w:type="pct"/>
            <w:tcBorders>
              <w:top w:val="nil"/>
              <w:left w:val="nil"/>
              <w:bottom w:val="single" w:color="auto" w:sz="4" w:space="0"/>
              <w:right w:val="single" w:color="auto" w:sz="4" w:space="0"/>
            </w:tcBorders>
            <w:noWrap/>
            <w:vAlign w:val="center"/>
          </w:tcPr>
          <w:p w14:paraId="4F02D6B0">
            <w:pPr>
              <w:widowControl/>
              <w:spacing w:line="240" w:lineRule="atLeast"/>
              <w:ind w:left="-107" w:leftChars="-51" w:right="-107" w:rightChars="-51"/>
              <w:jc w:val="center"/>
              <w:rPr>
                <w:rFonts w:hint="eastAsia" w:hAnsi="宋体" w:cs="宋体"/>
                <w:color w:val="auto"/>
                <w:kern w:val="0"/>
                <w:szCs w:val="21"/>
                <w:highlight w:val="none"/>
              </w:rPr>
            </w:pPr>
            <w:r>
              <w:rPr>
                <w:rFonts w:hint="eastAsia" w:hAnsi="宋体" w:cs="宋体"/>
                <w:color w:val="auto"/>
                <w:kern w:val="0"/>
                <w:szCs w:val="21"/>
                <w:highlight w:val="none"/>
              </w:rPr>
              <w:t>≥1000</w:t>
            </w:r>
          </w:p>
        </w:tc>
        <w:tc>
          <w:tcPr>
            <w:tcW w:w="316" w:type="pct"/>
            <w:tcBorders>
              <w:top w:val="nil"/>
              <w:left w:val="nil"/>
              <w:bottom w:val="single" w:color="auto" w:sz="4" w:space="0"/>
              <w:right w:val="single" w:color="auto" w:sz="4" w:space="0"/>
            </w:tcBorders>
            <w:noWrap/>
            <w:vAlign w:val="center"/>
          </w:tcPr>
          <w:p w14:paraId="269F3B67">
            <w:pPr>
              <w:widowControl/>
              <w:spacing w:line="240" w:lineRule="atLeast"/>
              <w:ind w:left="-107" w:leftChars="-51" w:right="-107" w:rightChars="-51"/>
              <w:jc w:val="center"/>
              <w:rPr>
                <w:rFonts w:hint="eastAsia" w:hAnsi="宋体" w:cs="宋体"/>
                <w:color w:val="auto"/>
                <w:kern w:val="0"/>
                <w:szCs w:val="21"/>
                <w:highlight w:val="none"/>
              </w:rPr>
            </w:pPr>
            <w:r>
              <w:rPr>
                <w:rFonts w:hint="eastAsia" w:hAnsi="宋体" w:cs="宋体"/>
                <w:color w:val="auto"/>
                <w:kern w:val="0"/>
                <w:szCs w:val="21"/>
                <w:highlight w:val="none"/>
              </w:rPr>
              <w:t>　</w:t>
            </w:r>
          </w:p>
        </w:tc>
        <w:tc>
          <w:tcPr>
            <w:tcW w:w="374" w:type="pct"/>
            <w:tcBorders>
              <w:top w:val="nil"/>
              <w:left w:val="nil"/>
              <w:bottom w:val="single" w:color="auto" w:sz="4" w:space="0"/>
              <w:right w:val="single" w:color="auto" w:sz="4" w:space="0"/>
            </w:tcBorders>
            <w:noWrap/>
            <w:vAlign w:val="center"/>
          </w:tcPr>
          <w:p w14:paraId="4F110183">
            <w:pPr>
              <w:widowControl/>
              <w:spacing w:line="240" w:lineRule="atLeast"/>
              <w:ind w:left="-107" w:leftChars="-51" w:right="-107" w:rightChars="-51"/>
              <w:jc w:val="center"/>
              <w:rPr>
                <w:rFonts w:hint="eastAsia" w:hAnsi="宋体" w:cs="宋体"/>
                <w:color w:val="auto"/>
                <w:kern w:val="0"/>
                <w:szCs w:val="21"/>
                <w:highlight w:val="none"/>
              </w:rPr>
            </w:pPr>
            <w:r>
              <w:rPr>
                <w:rFonts w:hint="eastAsia" w:hAnsi="宋体" w:cs="宋体"/>
                <w:color w:val="auto"/>
                <w:kern w:val="0"/>
                <w:szCs w:val="21"/>
                <w:highlight w:val="none"/>
              </w:rPr>
              <w:t>≥1000</w:t>
            </w:r>
          </w:p>
        </w:tc>
        <w:tc>
          <w:tcPr>
            <w:tcW w:w="332" w:type="pct"/>
            <w:tcBorders>
              <w:top w:val="nil"/>
              <w:left w:val="nil"/>
              <w:bottom w:val="single" w:color="auto" w:sz="4" w:space="0"/>
              <w:right w:val="single" w:color="auto" w:sz="4" w:space="0"/>
            </w:tcBorders>
            <w:noWrap/>
            <w:vAlign w:val="center"/>
          </w:tcPr>
          <w:p w14:paraId="6393FDDE">
            <w:pPr>
              <w:widowControl/>
              <w:spacing w:line="240" w:lineRule="atLeast"/>
              <w:ind w:left="-107" w:leftChars="-51" w:right="-107" w:rightChars="-51"/>
              <w:jc w:val="center"/>
              <w:rPr>
                <w:rFonts w:hint="eastAsia" w:hAnsi="宋体" w:cs="宋体"/>
                <w:color w:val="auto"/>
                <w:kern w:val="0"/>
                <w:szCs w:val="21"/>
                <w:highlight w:val="none"/>
              </w:rPr>
            </w:pPr>
            <w:r>
              <w:rPr>
                <w:rFonts w:hint="eastAsia" w:hAnsi="宋体" w:cs="宋体"/>
                <w:color w:val="auto"/>
                <w:kern w:val="0"/>
                <w:szCs w:val="21"/>
                <w:highlight w:val="none"/>
              </w:rPr>
              <w:t>≥300</w:t>
            </w:r>
          </w:p>
        </w:tc>
        <w:tc>
          <w:tcPr>
            <w:tcW w:w="336" w:type="pct"/>
            <w:tcBorders>
              <w:top w:val="nil"/>
              <w:left w:val="nil"/>
              <w:bottom w:val="single" w:color="auto" w:sz="4" w:space="0"/>
              <w:right w:val="single" w:color="auto" w:sz="4" w:space="0"/>
            </w:tcBorders>
            <w:noWrap/>
            <w:vAlign w:val="center"/>
          </w:tcPr>
          <w:p w14:paraId="2F1B5A5E">
            <w:pPr>
              <w:widowControl/>
              <w:spacing w:line="240" w:lineRule="atLeast"/>
              <w:jc w:val="center"/>
              <w:rPr>
                <w:rFonts w:hint="eastAsia" w:hAnsi="宋体" w:cs="宋体"/>
                <w:color w:val="auto"/>
                <w:kern w:val="0"/>
                <w:szCs w:val="21"/>
                <w:highlight w:val="none"/>
              </w:rPr>
            </w:pPr>
            <w:r>
              <w:rPr>
                <w:rFonts w:hint="eastAsia" w:hAnsi="宋体" w:cs="宋体"/>
                <w:color w:val="auto"/>
                <w:kern w:val="0"/>
                <w:szCs w:val="21"/>
                <w:highlight w:val="none"/>
              </w:rPr>
              <w:t>　</w:t>
            </w:r>
          </w:p>
        </w:tc>
        <w:tc>
          <w:tcPr>
            <w:tcW w:w="374" w:type="pct"/>
            <w:tcBorders>
              <w:top w:val="nil"/>
              <w:left w:val="nil"/>
              <w:bottom w:val="single" w:color="auto" w:sz="4" w:space="0"/>
              <w:right w:val="single" w:color="auto" w:sz="4" w:space="0"/>
            </w:tcBorders>
            <w:noWrap/>
            <w:vAlign w:val="center"/>
          </w:tcPr>
          <w:p w14:paraId="27DC8964">
            <w:pPr>
              <w:widowControl/>
              <w:spacing w:line="240" w:lineRule="atLeast"/>
              <w:jc w:val="center"/>
              <w:rPr>
                <w:rFonts w:hint="eastAsia" w:hAnsi="宋体" w:cs="宋体"/>
                <w:color w:val="auto"/>
                <w:kern w:val="0"/>
                <w:szCs w:val="21"/>
                <w:highlight w:val="none"/>
              </w:rPr>
            </w:pPr>
            <w:r>
              <w:rPr>
                <w:rFonts w:hint="eastAsia" w:hAnsi="宋体" w:cs="宋体"/>
                <w:color w:val="auto"/>
                <w:kern w:val="0"/>
                <w:szCs w:val="21"/>
                <w:highlight w:val="none"/>
              </w:rPr>
              <w:t>≥500</w:t>
            </w:r>
          </w:p>
        </w:tc>
        <w:tc>
          <w:tcPr>
            <w:tcW w:w="332" w:type="pct"/>
            <w:tcBorders>
              <w:top w:val="nil"/>
              <w:left w:val="nil"/>
              <w:bottom w:val="single" w:color="auto" w:sz="4" w:space="0"/>
              <w:right w:val="single" w:color="auto" w:sz="4" w:space="0"/>
            </w:tcBorders>
            <w:noWrap/>
            <w:vAlign w:val="center"/>
          </w:tcPr>
          <w:p w14:paraId="60BF1DC5">
            <w:pPr>
              <w:widowControl/>
              <w:spacing w:line="240" w:lineRule="atLeast"/>
              <w:jc w:val="center"/>
              <w:rPr>
                <w:rFonts w:hint="eastAsia" w:hAnsi="宋体" w:cs="宋体"/>
                <w:color w:val="auto"/>
                <w:kern w:val="0"/>
                <w:szCs w:val="21"/>
                <w:highlight w:val="none"/>
              </w:rPr>
            </w:pPr>
            <w:r>
              <w:rPr>
                <w:rFonts w:hint="eastAsia" w:hAnsi="宋体" w:cs="宋体"/>
                <w:color w:val="auto"/>
                <w:kern w:val="0"/>
                <w:szCs w:val="21"/>
                <w:highlight w:val="none"/>
              </w:rPr>
              <w:t>≥100</w:t>
            </w:r>
          </w:p>
        </w:tc>
        <w:tc>
          <w:tcPr>
            <w:tcW w:w="338" w:type="pct"/>
            <w:tcBorders>
              <w:top w:val="nil"/>
              <w:left w:val="nil"/>
              <w:bottom w:val="single" w:color="auto" w:sz="4" w:space="0"/>
              <w:right w:val="single" w:color="auto" w:sz="4" w:space="0"/>
            </w:tcBorders>
            <w:noWrap/>
            <w:vAlign w:val="center"/>
          </w:tcPr>
          <w:p w14:paraId="0408A780">
            <w:pPr>
              <w:widowControl/>
              <w:spacing w:line="240" w:lineRule="atLeast"/>
              <w:jc w:val="center"/>
              <w:rPr>
                <w:rFonts w:hint="eastAsia" w:hAnsi="宋体" w:cs="宋体"/>
                <w:color w:val="auto"/>
                <w:kern w:val="0"/>
                <w:szCs w:val="21"/>
                <w:highlight w:val="none"/>
              </w:rPr>
            </w:pPr>
            <w:r>
              <w:rPr>
                <w:rFonts w:hint="eastAsia" w:hAnsi="宋体" w:cs="宋体"/>
                <w:color w:val="auto"/>
                <w:kern w:val="0"/>
                <w:szCs w:val="21"/>
                <w:highlight w:val="none"/>
              </w:rPr>
              <w:t>　</w:t>
            </w:r>
          </w:p>
        </w:tc>
        <w:tc>
          <w:tcPr>
            <w:tcW w:w="374" w:type="pct"/>
            <w:tcBorders>
              <w:top w:val="nil"/>
              <w:left w:val="nil"/>
              <w:bottom w:val="single" w:color="auto" w:sz="4" w:space="0"/>
              <w:right w:val="single" w:color="auto" w:sz="4" w:space="0"/>
            </w:tcBorders>
            <w:noWrap/>
            <w:vAlign w:val="center"/>
          </w:tcPr>
          <w:p w14:paraId="07D13FC9">
            <w:pPr>
              <w:widowControl/>
              <w:spacing w:line="240" w:lineRule="atLeast"/>
              <w:jc w:val="center"/>
              <w:rPr>
                <w:rFonts w:hint="eastAsia" w:hAnsi="宋体" w:cs="宋体"/>
                <w:color w:val="auto"/>
                <w:kern w:val="0"/>
                <w:szCs w:val="21"/>
                <w:highlight w:val="none"/>
              </w:rPr>
            </w:pPr>
            <w:r>
              <w:rPr>
                <w:rFonts w:hint="eastAsia" w:hAnsi="宋体" w:cs="宋体"/>
                <w:color w:val="auto"/>
                <w:kern w:val="0"/>
                <w:szCs w:val="21"/>
                <w:highlight w:val="none"/>
              </w:rPr>
              <w:t>＜500</w:t>
            </w:r>
          </w:p>
        </w:tc>
        <w:tc>
          <w:tcPr>
            <w:tcW w:w="332" w:type="pct"/>
            <w:tcBorders>
              <w:top w:val="nil"/>
              <w:left w:val="nil"/>
              <w:bottom w:val="single" w:color="auto" w:sz="4" w:space="0"/>
              <w:right w:val="single" w:color="auto" w:sz="4" w:space="0"/>
            </w:tcBorders>
            <w:noWrap/>
            <w:vAlign w:val="center"/>
          </w:tcPr>
          <w:p w14:paraId="4873143F">
            <w:pPr>
              <w:widowControl/>
              <w:spacing w:line="240" w:lineRule="atLeast"/>
              <w:jc w:val="center"/>
              <w:rPr>
                <w:rFonts w:hint="eastAsia" w:hAnsi="宋体" w:cs="宋体"/>
                <w:color w:val="auto"/>
                <w:kern w:val="0"/>
                <w:szCs w:val="21"/>
                <w:highlight w:val="none"/>
              </w:rPr>
            </w:pPr>
            <w:r>
              <w:rPr>
                <w:rFonts w:hint="eastAsia" w:hAnsi="宋体" w:cs="宋体"/>
                <w:color w:val="auto"/>
                <w:kern w:val="0"/>
                <w:szCs w:val="21"/>
                <w:highlight w:val="none"/>
              </w:rPr>
              <w:t>＜100</w:t>
            </w:r>
          </w:p>
        </w:tc>
        <w:tc>
          <w:tcPr>
            <w:tcW w:w="296" w:type="pct"/>
            <w:tcBorders>
              <w:top w:val="nil"/>
              <w:left w:val="nil"/>
              <w:bottom w:val="single" w:color="auto" w:sz="4" w:space="0"/>
              <w:right w:val="single" w:color="auto" w:sz="4" w:space="0"/>
            </w:tcBorders>
            <w:noWrap/>
            <w:vAlign w:val="center"/>
          </w:tcPr>
          <w:p w14:paraId="00B71601">
            <w:pPr>
              <w:widowControl/>
              <w:spacing w:line="240" w:lineRule="atLeast"/>
              <w:jc w:val="center"/>
              <w:rPr>
                <w:rFonts w:hint="eastAsia" w:hAnsi="宋体" w:cs="宋体"/>
                <w:color w:val="auto"/>
                <w:kern w:val="0"/>
                <w:szCs w:val="21"/>
                <w:highlight w:val="none"/>
              </w:rPr>
            </w:pPr>
            <w:r>
              <w:rPr>
                <w:rFonts w:hint="eastAsia" w:hAnsi="宋体" w:cs="宋体"/>
                <w:color w:val="auto"/>
                <w:kern w:val="0"/>
                <w:szCs w:val="21"/>
                <w:highlight w:val="none"/>
              </w:rPr>
              <w:t>　</w:t>
            </w:r>
          </w:p>
        </w:tc>
      </w:tr>
      <w:tr w14:paraId="0B31E3D2">
        <w:tblPrEx>
          <w:tblCellMar>
            <w:top w:w="0" w:type="dxa"/>
            <w:left w:w="108" w:type="dxa"/>
            <w:bottom w:w="0" w:type="dxa"/>
            <w:right w:w="108" w:type="dxa"/>
          </w:tblCellMar>
        </w:tblPrEx>
        <w:trPr>
          <w:trHeight w:val="363" w:hRule="atLeast"/>
          <w:jc w:val="center"/>
        </w:trPr>
        <w:tc>
          <w:tcPr>
            <w:tcW w:w="183" w:type="pct"/>
            <w:tcBorders>
              <w:top w:val="nil"/>
              <w:left w:val="single" w:color="auto" w:sz="4" w:space="0"/>
              <w:bottom w:val="single" w:color="auto" w:sz="4" w:space="0"/>
              <w:right w:val="single" w:color="auto" w:sz="4" w:space="0"/>
            </w:tcBorders>
            <w:noWrap/>
            <w:vAlign w:val="center"/>
          </w:tcPr>
          <w:p w14:paraId="0BEDC314">
            <w:pPr>
              <w:widowControl/>
              <w:spacing w:line="240" w:lineRule="atLeast"/>
              <w:ind w:left="-107" w:leftChars="-51" w:right="-107" w:rightChars="-51"/>
              <w:jc w:val="center"/>
              <w:rPr>
                <w:rFonts w:hint="eastAsia" w:hAnsi="宋体" w:cs="宋体"/>
                <w:b/>
                <w:color w:val="auto"/>
                <w:kern w:val="0"/>
                <w:szCs w:val="21"/>
                <w:highlight w:val="none"/>
              </w:rPr>
            </w:pPr>
            <w:r>
              <w:rPr>
                <w:rFonts w:hint="eastAsia" w:hAnsi="宋体" w:cs="宋体"/>
                <w:b/>
                <w:color w:val="auto"/>
                <w:kern w:val="0"/>
                <w:szCs w:val="21"/>
                <w:highlight w:val="none"/>
              </w:rPr>
              <w:t>15</w:t>
            </w:r>
          </w:p>
        </w:tc>
        <w:tc>
          <w:tcPr>
            <w:tcW w:w="666" w:type="pct"/>
            <w:tcBorders>
              <w:top w:val="nil"/>
              <w:left w:val="nil"/>
              <w:bottom w:val="single" w:color="auto" w:sz="4" w:space="0"/>
              <w:right w:val="single" w:color="auto" w:sz="4" w:space="0"/>
            </w:tcBorders>
            <w:noWrap w:val="0"/>
            <w:vAlign w:val="center"/>
          </w:tcPr>
          <w:p w14:paraId="77C92701">
            <w:pPr>
              <w:spacing w:line="240" w:lineRule="atLeast"/>
              <w:ind w:left="-27" w:leftChars="-13" w:right="-65" w:rightChars="-31"/>
              <w:jc w:val="left"/>
              <w:rPr>
                <w:rFonts w:hint="eastAsia" w:hAnsi="宋体" w:cs="宋体"/>
                <w:b/>
                <w:color w:val="auto"/>
                <w:kern w:val="0"/>
                <w:szCs w:val="21"/>
                <w:highlight w:val="none"/>
              </w:rPr>
            </w:pPr>
            <w:r>
              <w:rPr>
                <w:rFonts w:hint="eastAsia" w:hAnsi="宋体" w:cs="宋体"/>
                <w:b/>
                <w:color w:val="auto"/>
                <w:kern w:val="0"/>
                <w:szCs w:val="21"/>
                <w:highlight w:val="none"/>
              </w:rPr>
              <w:t>租赁和商务服务业</w:t>
            </w:r>
          </w:p>
        </w:tc>
        <w:tc>
          <w:tcPr>
            <w:tcW w:w="405" w:type="pct"/>
            <w:tcBorders>
              <w:top w:val="nil"/>
              <w:left w:val="nil"/>
              <w:bottom w:val="single" w:color="auto" w:sz="4" w:space="0"/>
              <w:right w:val="single" w:color="auto" w:sz="4" w:space="0"/>
            </w:tcBorders>
            <w:noWrap/>
            <w:vAlign w:val="center"/>
          </w:tcPr>
          <w:p w14:paraId="2BB07A8C">
            <w:pPr>
              <w:widowControl/>
              <w:spacing w:line="240" w:lineRule="atLeast"/>
              <w:ind w:left="-107" w:leftChars="-51" w:right="-107" w:rightChars="-51"/>
              <w:jc w:val="center"/>
              <w:rPr>
                <w:rFonts w:hint="eastAsia" w:hAnsi="宋体" w:cs="宋体"/>
                <w:color w:val="auto"/>
                <w:kern w:val="0"/>
                <w:szCs w:val="21"/>
                <w:highlight w:val="none"/>
              </w:rPr>
            </w:pPr>
            <w:r>
              <w:rPr>
                <w:rFonts w:hint="eastAsia" w:hAnsi="宋体" w:cs="宋体"/>
                <w:color w:val="auto"/>
                <w:kern w:val="0"/>
                <w:szCs w:val="21"/>
                <w:highlight w:val="none"/>
              </w:rPr>
              <w:t>　</w:t>
            </w:r>
          </w:p>
        </w:tc>
        <w:tc>
          <w:tcPr>
            <w:tcW w:w="332" w:type="pct"/>
            <w:tcBorders>
              <w:top w:val="nil"/>
              <w:left w:val="nil"/>
              <w:bottom w:val="single" w:color="auto" w:sz="4" w:space="0"/>
              <w:right w:val="single" w:color="auto" w:sz="4" w:space="0"/>
            </w:tcBorders>
            <w:noWrap/>
            <w:vAlign w:val="center"/>
          </w:tcPr>
          <w:p w14:paraId="697B1950">
            <w:pPr>
              <w:widowControl/>
              <w:spacing w:line="240" w:lineRule="atLeast"/>
              <w:ind w:left="-107" w:leftChars="-51" w:right="-107" w:rightChars="-51"/>
              <w:jc w:val="center"/>
              <w:rPr>
                <w:rFonts w:hint="eastAsia" w:hAnsi="宋体" w:cs="宋体"/>
                <w:color w:val="auto"/>
                <w:kern w:val="0"/>
                <w:szCs w:val="21"/>
                <w:highlight w:val="none"/>
              </w:rPr>
            </w:pPr>
            <w:r>
              <w:rPr>
                <w:rFonts w:hint="eastAsia" w:hAnsi="宋体" w:cs="宋体"/>
                <w:color w:val="auto"/>
                <w:kern w:val="0"/>
                <w:szCs w:val="21"/>
                <w:highlight w:val="none"/>
              </w:rPr>
              <w:t>≥300</w:t>
            </w:r>
          </w:p>
        </w:tc>
        <w:tc>
          <w:tcPr>
            <w:tcW w:w="316" w:type="pct"/>
            <w:tcBorders>
              <w:top w:val="nil"/>
              <w:left w:val="nil"/>
              <w:bottom w:val="single" w:color="auto" w:sz="4" w:space="0"/>
              <w:right w:val="single" w:color="auto" w:sz="4" w:space="0"/>
            </w:tcBorders>
            <w:noWrap/>
            <w:vAlign w:val="center"/>
          </w:tcPr>
          <w:p w14:paraId="4A1F258B">
            <w:pPr>
              <w:widowControl/>
              <w:spacing w:line="240" w:lineRule="atLeast"/>
              <w:ind w:left="-107" w:leftChars="-51" w:right="-107" w:rightChars="-51"/>
              <w:jc w:val="center"/>
              <w:rPr>
                <w:rFonts w:hint="eastAsia" w:hAnsi="宋体" w:cs="宋体"/>
                <w:color w:val="auto"/>
                <w:kern w:val="0"/>
                <w:szCs w:val="21"/>
                <w:highlight w:val="none"/>
              </w:rPr>
            </w:pPr>
            <w:r>
              <w:rPr>
                <w:rFonts w:hint="eastAsia" w:hAnsi="宋体" w:cs="宋体"/>
                <w:color w:val="auto"/>
                <w:kern w:val="0"/>
                <w:szCs w:val="21"/>
                <w:highlight w:val="none"/>
              </w:rPr>
              <w:t>≥120000</w:t>
            </w:r>
          </w:p>
        </w:tc>
        <w:tc>
          <w:tcPr>
            <w:tcW w:w="374" w:type="pct"/>
            <w:tcBorders>
              <w:top w:val="nil"/>
              <w:left w:val="nil"/>
              <w:bottom w:val="single" w:color="auto" w:sz="4" w:space="0"/>
              <w:right w:val="single" w:color="auto" w:sz="4" w:space="0"/>
            </w:tcBorders>
            <w:noWrap/>
            <w:vAlign w:val="center"/>
          </w:tcPr>
          <w:p w14:paraId="39E8A9A4">
            <w:pPr>
              <w:widowControl/>
              <w:spacing w:line="240" w:lineRule="atLeast"/>
              <w:ind w:left="-107" w:leftChars="-51" w:right="-107" w:rightChars="-51"/>
              <w:jc w:val="center"/>
              <w:rPr>
                <w:rFonts w:hint="eastAsia" w:hAnsi="宋体" w:cs="宋体"/>
                <w:color w:val="auto"/>
                <w:kern w:val="0"/>
                <w:szCs w:val="21"/>
                <w:highlight w:val="none"/>
              </w:rPr>
            </w:pPr>
            <w:r>
              <w:rPr>
                <w:rFonts w:hint="eastAsia" w:hAnsi="宋体" w:cs="宋体"/>
                <w:color w:val="auto"/>
                <w:kern w:val="0"/>
                <w:szCs w:val="21"/>
                <w:highlight w:val="none"/>
              </w:rPr>
              <w:t>　</w:t>
            </w:r>
          </w:p>
        </w:tc>
        <w:tc>
          <w:tcPr>
            <w:tcW w:w="332" w:type="pct"/>
            <w:tcBorders>
              <w:top w:val="nil"/>
              <w:left w:val="nil"/>
              <w:bottom w:val="single" w:color="auto" w:sz="4" w:space="0"/>
              <w:right w:val="single" w:color="auto" w:sz="4" w:space="0"/>
            </w:tcBorders>
            <w:noWrap/>
            <w:vAlign w:val="center"/>
          </w:tcPr>
          <w:p w14:paraId="31E42A86">
            <w:pPr>
              <w:widowControl/>
              <w:spacing w:line="240" w:lineRule="atLeast"/>
              <w:ind w:left="-107" w:leftChars="-51" w:right="-107" w:rightChars="-51"/>
              <w:jc w:val="center"/>
              <w:rPr>
                <w:rFonts w:hint="eastAsia" w:hAnsi="宋体" w:cs="宋体"/>
                <w:color w:val="auto"/>
                <w:kern w:val="0"/>
                <w:szCs w:val="21"/>
                <w:highlight w:val="none"/>
              </w:rPr>
            </w:pPr>
            <w:r>
              <w:rPr>
                <w:rFonts w:hint="eastAsia" w:hAnsi="宋体" w:cs="宋体"/>
                <w:color w:val="auto"/>
                <w:kern w:val="0"/>
                <w:szCs w:val="21"/>
                <w:highlight w:val="none"/>
              </w:rPr>
              <w:t>≥100</w:t>
            </w:r>
          </w:p>
        </w:tc>
        <w:tc>
          <w:tcPr>
            <w:tcW w:w="336" w:type="pct"/>
            <w:tcBorders>
              <w:top w:val="nil"/>
              <w:left w:val="nil"/>
              <w:bottom w:val="single" w:color="auto" w:sz="4" w:space="0"/>
              <w:right w:val="single" w:color="auto" w:sz="4" w:space="0"/>
            </w:tcBorders>
            <w:noWrap/>
            <w:vAlign w:val="center"/>
          </w:tcPr>
          <w:p w14:paraId="3AE19623">
            <w:pPr>
              <w:widowControl/>
              <w:spacing w:line="240" w:lineRule="atLeast"/>
              <w:jc w:val="center"/>
              <w:rPr>
                <w:rFonts w:hint="eastAsia" w:hAnsi="宋体" w:cs="宋体"/>
                <w:color w:val="auto"/>
                <w:kern w:val="0"/>
                <w:szCs w:val="21"/>
                <w:highlight w:val="none"/>
              </w:rPr>
            </w:pPr>
            <w:r>
              <w:rPr>
                <w:rFonts w:hint="eastAsia" w:hAnsi="宋体" w:cs="宋体"/>
                <w:color w:val="auto"/>
                <w:kern w:val="0"/>
                <w:szCs w:val="21"/>
                <w:highlight w:val="none"/>
              </w:rPr>
              <w:t>≥8000</w:t>
            </w:r>
          </w:p>
        </w:tc>
        <w:tc>
          <w:tcPr>
            <w:tcW w:w="374" w:type="pct"/>
            <w:tcBorders>
              <w:top w:val="nil"/>
              <w:left w:val="nil"/>
              <w:bottom w:val="single" w:color="auto" w:sz="4" w:space="0"/>
              <w:right w:val="single" w:color="auto" w:sz="4" w:space="0"/>
            </w:tcBorders>
            <w:noWrap/>
            <w:vAlign w:val="center"/>
          </w:tcPr>
          <w:p w14:paraId="3D66D832">
            <w:pPr>
              <w:widowControl/>
              <w:spacing w:line="240" w:lineRule="atLeast"/>
              <w:jc w:val="center"/>
              <w:rPr>
                <w:rFonts w:hint="eastAsia" w:hAnsi="宋体" w:cs="宋体"/>
                <w:color w:val="auto"/>
                <w:kern w:val="0"/>
                <w:szCs w:val="21"/>
                <w:highlight w:val="none"/>
              </w:rPr>
            </w:pPr>
            <w:r>
              <w:rPr>
                <w:rFonts w:hint="eastAsia" w:hAnsi="宋体" w:cs="宋体"/>
                <w:color w:val="auto"/>
                <w:kern w:val="0"/>
                <w:szCs w:val="21"/>
                <w:highlight w:val="none"/>
              </w:rPr>
              <w:t>　</w:t>
            </w:r>
          </w:p>
        </w:tc>
        <w:tc>
          <w:tcPr>
            <w:tcW w:w="332" w:type="pct"/>
            <w:tcBorders>
              <w:top w:val="nil"/>
              <w:left w:val="nil"/>
              <w:bottom w:val="single" w:color="auto" w:sz="4" w:space="0"/>
              <w:right w:val="single" w:color="auto" w:sz="4" w:space="0"/>
            </w:tcBorders>
            <w:noWrap/>
            <w:vAlign w:val="center"/>
          </w:tcPr>
          <w:p w14:paraId="5F90F512">
            <w:pPr>
              <w:widowControl/>
              <w:spacing w:line="240" w:lineRule="atLeast"/>
              <w:jc w:val="center"/>
              <w:rPr>
                <w:rFonts w:hint="eastAsia" w:hAnsi="宋体" w:cs="宋体"/>
                <w:color w:val="auto"/>
                <w:kern w:val="0"/>
                <w:szCs w:val="21"/>
                <w:highlight w:val="none"/>
              </w:rPr>
            </w:pPr>
            <w:r>
              <w:rPr>
                <w:rFonts w:hint="eastAsia" w:hAnsi="宋体" w:cs="宋体"/>
                <w:color w:val="auto"/>
                <w:kern w:val="0"/>
                <w:szCs w:val="21"/>
                <w:highlight w:val="none"/>
              </w:rPr>
              <w:t>≥10</w:t>
            </w:r>
          </w:p>
        </w:tc>
        <w:tc>
          <w:tcPr>
            <w:tcW w:w="338" w:type="pct"/>
            <w:tcBorders>
              <w:top w:val="nil"/>
              <w:left w:val="nil"/>
              <w:bottom w:val="single" w:color="auto" w:sz="4" w:space="0"/>
              <w:right w:val="single" w:color="auto" w:sz="4" w:space="0"/>
            </w:tcBorders>
            <w:noWrap/>
            <w:vAlign w:val="center"/>
          </w:tcPr>
          <w:p w14:paraId="17971CE7">
            <w:pPr>
              <w:widowControl/>
              <w:spacing w:line="240" w:lineRule="atLeast"/>
              <w:jc w:val="center"/>
              <w:rPr>
                <w:rFonts w:hint="eastAsia" w:hAnsi="宋体" w:cs="宋体"/>
                <w:color w:val="auto"/>
                <w:kern w:val="0"/>
                <w:szCs w:val="21"/>
                <w:highlight w:val="none"/>
              </w:rPr>
            </w:pPr>
            <w:r>
              <w:rPr>
                <w:rFonts w:hint="eastAsia" w:hAnsi="宋体" w:cs="宋体"/>
                <w:color w:val="auto"/>
                <w:kern w:val="0"/>
                <w:szCs w:val="21"/>
                <w:highlight w:val="none"/>
              </w:rPr>
              <w:t>≥100</w:t>
            </w:r>
          </w:p>
        </w:tc>
        <w:tc>
          <w:tcPr>
            <w:tcW w:w="374" w:type="pct"/>
            <w:tcBorders>
              <w:top w:val="nil"/>
              <w:left w:val="nil"/>
              <w:bottom w:val="single" w:color="auto" w:sz="4" w:space="0"/>
              <w:right w:val="single" w:color="auto" w:sz="4" w:space="0"/>
            </w:tcBorders>
            <w:noWrap/>
            <w:vAlign w:val="center"/>
          </w:tcPr>
          <w:p w14:paraId="4BD49C86">
            <w:pPr>
              <w:widowControl/>
              <w:spacing w:line="240" w:lineRule="atLeast"/>
              <w:jc w:val="center"/>
              <w:rPr>
                <w:rFonts w:hint="eastAsia" w:hAnsi="宋体" w:cs="宋体"/>
                <w:color w:val="auto"/>
                <w:kern w:val="0"/>
                <w:szCs w:val="21"/>
                <w:highlight w:val="none"/>
              </w:rPr>
            </w:pPr>
            <w:r>
              <w:rPr>
                <w:rFonts w:hint="eastAsia" w:hAnsi="宋体" w:cs="宋体"/>
                <w:color w:val="auto"/>
                <w:kern w:val="0"/>
                <w:szCs w:val="21"/>
                <w:highlight w:val="none"/>
              </w:rPr>
              <w:t>　</w:t>
            </w:r>
          </w:p>
        </w:tc>
        <w:tc>
          <w:tcPr>
            <w:tcW w:w="332" w:type="pct"/>
            <w:tcBorders>
              <w:top w:val="nil"/>
              <w:left w:val="nil"/>
              <w:bottom w:val="single" w:color="auto" w:sz="4" w:space="0"/>
              <w:right w:val="single" w:color="auto" w:sz="4" w:space="0"/>
            </w:tcBorders>
            <w:noWrap/>
            <w:vAlign w:val="center"/>
          </w:tcPr>
          <w:p w14:paraId="4C1AB9F2">
            <w:pPr>
              <w:widowControl/>
              <w:spacing w:line="240" w:lineRule="atLeast"/>
              <w:jc w:val="center"/>
              <w:rPr>
                <w:rFonts w:hint="eastAsia" w:hAnsi="宋体" w:cs="宋体"/>
                <w:color w:val="auto"/>
                <w:kern w:val="0"/>
                <w:szCs w:val="21"/>
                <w:highlight w:val="none"/>
              </w:rPr>
            </w:pPr>
            <w:r>
              <w:rPr>
                <w:rFonts w:hint="eastAsia" w:hAnsi="宋体" w:cs="宋体"/>
                <w:color w:val="auto"/>
                <w:kern w:val="0"/>
                <w:szCs w:val="21"/>
                <w:highlight w:val="none"/>
              </w:rPr>
              <w:t>＜10</w:t>
            </w:r>
          </w:p>
        </w:tc>
        <w:tc>
          <w:tcPr>
            <w:tcW w:w="296" w:type="pct"/>
            <w:tcBorders>
              <w:top w:val="nil"/>
              <w:left w:val="nil"/>
              <w:bottom w:val="single" w:color="auto" w:sz="4" w:space="0"/>
              <w:right w:val="single" w:color="auto" w:sz="4" w:space="0"/>
            </w:tcBorders>
            <w:noWrap/>
            <w:vAlign w:val="center"/>
          </w:tcPr>
          <w:p w14:paraId="579FDDB6">
            <w:pPr>
              <w:widowControl/>
              <w:spacing w:line="240" w:lineRule="atLeast"/>
              <w:jc w:val="center"/>
              <w:rPr>
                <w:rFonts w:hint="eastAsia" w:hAnsi="宋体" w:cs="宋体"/>
                <w:color w:val="auto"/>
                <w:kern w:val="0"/>
                <w:szCs w:val="21"/>
                <w:highlight w:val="none"/>
              </w:rPr>
            </w:pPr>
            <w:r>
              <w:rPr>
                <w:rFonts w:hint="eastAsia" w:hAnsi="宋体" w:cs="宋体"/>
                <w:color w:val="auto"/>
                <w:kern w:val="0"/>
                <w:szCs w:val="21"/>
                <w:highlight w:val="none"/>
              </w:rPr>
              <w:t>＜100</w:t>
            </w:r>
          </w:p>
        </w:tc>
      </w:tr>
      <w:tr w14:paraId="2AB1144E">
        <w:tblPrEx>
          <w:tblCellMar>
            <w:top w:w="0" w:type="dxa"/>
            <w:left w:w="108" w:type="dxa"/>
            <w:bottom w:w="0" w:type="dxa"/>
            <w:right w:w="108" w:type="dxa"/>
          </w:tblCellMar>
        </w:tblPrEx>
        <w:trPr>
          <w:trHeight w:val="375" w:hRule="atLeast"/>
          <w:jc w:val="center"/>
        </w:trPr>
        <w:tc>
          <w:tcPr>
            <w:tcW w:w="183" w:type="pct"/>
            <w:tcBorders>
              <w:top w:val="nil"/>
              <w:left w:val="single" w:color="auto" w:sz="4" w:space="0"/>
              <w:bottom w:val="single" w:color="auto" w:sz="4" w:space="0"/>
              <w:right w:val="single" w:color="auto" w:sz="4" w:space="0"/>
            </w:tcBorders>
            <w:noWrap/>
            <w:vAlign w:val="center"/>
          </w:tcPr>
          <w:p w14:paraId="118261D7">
            <w:pPr>
              <w:widowControl/>
              <w:spacing w:line="240" w:lineRule="atLeast"/>
              <w:ind w:left="-107" w:leftChars="-51" w:right="-107" w:rightChars="-51"/>
              <w:jc w:val="center"/>
              <w:rPr>
                <w:rFonts w:hint="eastAsia" w:hAnsi="宋体" w:cs="宋体"/>
                <w:b/>
                <w:color w:val="auto"/>
                <w:kern w:val="0"/>
                <w:szCs w:val="21"/>
                <w:highlight w:val="none"/>
              </w:rPr>
            </w:pPr>
            <w:r>
              <w:rPr>
                <w:rFonts w:hint="eastAsia" w:hAnsi="宋体" w:cs="宋体"/>
                <w:b/>
                <w:color w:val="auto"/>
                <w:kern w:val="0"/>
                <w:szCs w:val="21"/>
                <w:highlight w:val="none"/>
              </w:rPr>
              <w:t>16</w:t>
            </w:r>
          </w:p>
        </w:tc>
        <w:tc>
          <w:tcPr>
            <w:tcW w:w="666" w:type="pct"/>
            <w:tcBorders>
              <w:top w:val="nil"/>
              <w:left w:val="nil"/>
              <w:bottom w:val="single" w:color="auto" w:sz="4" w:space="0"/>
              <w:right w:val="single" w:color="auto" w:sz="4" w:space="0"/>
            </w:tcBorders>
            <w:noWrap w:val="0"/>
            <w:vAlign w:val="center"/>
          </w:tcPr>
          <w:p w14:paraId="2DCC22BD">
            <w:pPr>
              <w:spacing w:line="240" w:lineRule="atLeast"/>
              <w:ind w:left="-27" w:leftChars="-13" w:right="-65" w:rightChars="-31"/>
              <w:jc w:val="left"/>
              <w:rPr>
                <w:rFonts w:hint="eastAsia" w:hAnsi="宋体" w:cs="宋体"/>
                <w:b/>
                <w:color w:val="auto"/>
                <w:kern w:val="0"/>
                <w:szCs w:val="21"/>
                <w:highlight w:val="none"/>
              </w:rPr>
            </w:pPr>
            <w:r>
              <w:rPr>
                <w:rFonts w:hint="eastAsia" w:hAnsi="宋体" w:cs="宋体"/>
                <w:b/>
                <w:color w:val="auto"/>
                <w:kern w:val="0"/>
                <w:szCs w:val="21"/>
                <w:highlight w:val="none"/>
              </w:rPr>
              <w:t>其他未列明行业</w:t>
            </w:r>
          </w:p>
        </w:tc>
        <w:tc>
          <w:tcPr>
            <w:tcW w:w="405" w:type="pct"/>
            <w:tcBorders>
              <w:top w:val="nil"/>
              <w:left w:val="nil"/>
              <w:bottom w:val="single" w:color="auto" w:sz="4" w:space="0"/>
              <w:right w:val="single" w:color="auto" w:sz="4" w:space="0"/>
            </w:tcBorders>
            <w:noWrap/>
            <w:vAlign w:val="center"/>
          </w:tcPr>
          <w:p w14:paraId="3EFA5779">
            <w:pPr>
              <w:widowControl/>
              <w:spacing w:line="240" w:lineRule="atLeast"/>
              <w:ind w:left="-107" w:leftChars="-51" w:right="-107" w:rightChars="-51"/>
              <w:jc w:val="center"/>
              <w:rPr>
                <w:rFonts w:hint="eastAsia" w:hAnsi="宋体" w:cs="宋体"/>
                <w:color w:val="auto"/>
                <w:kern w:val="0"/>
                <w:szCs w:val="21"/>
                <w:highlight w:val="none"/>
              </w:rPr>
            </w:pPr>
            <w:r>
              <w:rPr>
                <w:rFonts w:hint="eastAsia" w:hAnsi="宋体" w:cs="宋体"/>
                <w:color w:val="auto"/>
                <w:kern w:val="0"/>
                <w:szCs w:val="21"/>
                <w:highlight w:val="none"/>
              </w:rPr>
              <w:t>　</w:t>
            </w:r>
          </w:p>
        </w:tc>
        <w:tc>
          <w:tcPr>
            <w:tcW w:w="332" w:type="pct"/>
            <w:tcBorders>
              <w:top w:val="nil"/>
              <w:left w:val="nil"/>
              <w:bottom w:val="single" w:color="auto" w:sz="4" w:space="0"/>
              <w:right w:val="single" w:color="auto" w:sz="4" w:space="0"/>
            </w:tcBorders>
            <w:noWrap/>
            <w:vAlign w:val="center"/>
          </w:tcPr>
          <w:p w14:paraId="18540A24">
            <w:pPr>
              <w:widowControl/>
              <w:spacing w:line="240" w:lineRule="atLeast"/>
              <w:ind w:left="-107" w:leftChars="-51" w:right="-107" w:rightChars="-51"/>
              <w:jc w:val="center"/>
              <w:rPr>
                <w:rFonts w:hint="eastAsia" w:hAnsi="宋体" w:cs="宋体"/>
                <w:color w:val="auto"/>
                <w:kern w:val="0"/>
                <w:szCs w:val="21"/>
                <w:highlight w:val="none"/>
              </w:rPr>
            </w:pPr>
            <w:r>
              <w:rPr>
                <w:rFonts w:hint="eastAsia" w:hAnsi="宋体" w:cs="宋体"/>
                <w:color w:val="auto"/>
                <w:kern w:val="0"/>
                <w:szCs w:val="21"/>
                <w:highlight w:val="none"/>
              </w:rPr>
              <w:t>≥300</w:t>
            </w:r>
          </w:p>
        </w:tc>
        <w:tc>
          <w:tcPr>
            <w:tcW w:w="316" w:type="pct"/>
            <w:tcBorders>
              <w:top w:val="nil"/>
              <w:left w:val="nil"/>
              <w:bottom w:val="single" w:color="auto" w:sz="4" w:space="0"/>
              <w:right w:val="single" w:color="auto" w:sz="4" w:space="0"/>
            </w:tcBorders>
            <w:noWrap/>
            <w:vAlign w:val="center"/>
          </w:tcPr>
          <w:p w14:paraId="4A3EB435">
            <w:pPr>
              <w:widowControl/>
              <w:spacing w:line="240" w:lineRule="atLeast"/>
              <w:ind w:left="-107" w:leftChars="-51" w:right="-107" w:rightChars="-51"/>
              <w:jc w:val="center"/>
              <w:rPr>
                <w:rFonts w:hint="eastAsia" w:hAnsi="宋体" w:cs="宋体"/>
                <w:color w:val="auto"/>
                <w:kern w:val="0"/>
                <w:szCs w:val="21"/>
                <w:highlight w:val="none"/>
              </w:rPr>
            </w:pPr>
            <w:r>
              <w:rPr>
                <w:rFonts w:hint="eastAsia" w:hAnsi="宋体" w:cs="宋体"/>
                <w:color w:val="auto"/>
                <w:kern w:val="0"/>
                <w:szCs w:val="21"/>
                <w:highlight w:val="none"/>
              </w:rPr>
              <w:t>　</w:t>
            </w:r>
          </w:p>
        </w:tc>
        <w:tc>
          <w:tcPr>
            <w:tcW w:w="374" w:type="pct"/>
            <w:tcBorders>
              <w:top w:val="nil"/>
              <w:left w:val="nil"/>
              <w:bottom w:val="single" w:color="auto" w:sz="4" w:space="0"/>
              <w:right w:val="single" w:color="auto" w:sz="4" w:space="0"/>
            </w:tcBorders>
            <w:noWrap/>
            <w:vAlign w:val="center"/>
          </w:tcPr>
          <w:p w14:paraId="08CB5723">
            <w:pPr>
              <w:widowControl/>
              <w:spacing w:line="240" w:lineRule="atLeast"/>
              <w:ind w:left="-107" w:leftChars="-51" w:right="-107" w:rightChars="-51"/>
              <w:jc w:val="center"/>
              <w:rPr>
                <w:rFonts w:hint="eastAsia" w:hAnsi="宋体" w:cs="宋体"/>
                <w:color w:val="auto"/>
                <w:kern w:val="0"/>
                <w:szCs w:val="21"/>
                <w:highlight w:val="none"/>
              </w:rPr>
            </w:pPr>
            <w:r>
              <w:rPr>
                <w:rFonts w:hint="eastAsia" w:hAnsi="宋体" w:cs="宋体"/>
                <w:color w:val="auto"/>
                <w:kern w:val="0"/>
                <w:szCs w:val="21"/>
                <w:highlight w:val="none"/>
              </w:rPr>
              <w:t>　</w:t>
            </w:r>
          </w:p>
        </w:tc>
        <w:tc>
          <w:tcPr>
            <w:tcW w:w="332" w:type="pct"/>
            <w:tcBorders>
              <w:top w:val="nil"/>
              <w:left w:val="nil"/>
              <w:bottom w:val="single" w:color="auto" w:sz="4" w:space="0"/>
              <w:right w:val="single" w:color="auto" w:sz="4" w:space="0"/>
            </w:tcBorders>
            <w:noWrap/>
            <w:vAlign w:val="center"/>
          </w:tcPr>
          <w:p w14:paraId="6412F122">
            <w:pPr>
              <w:widowControl/>
              <w:spacing w:line="240" w:lineRule="atLeast"/>
              <w:ind w:left="-107" w:leftChars="-51" w:right="-107" w:rightChars="-51"/>
              <w:jc w:val="center"/>
              <w:rPr>
                <w:rFonts w:hint="eastAsia" w:hAnsi="宋体" w:cs="宋体"/>
                <w:color w:val="auto"/>
                <w:kern w:val="0"/>
                <w:szCs w:val="21"/>
                <w:highlight w:val="none"/>
              </w:rPr>
            </w:pPr>
            <w:r>
              <w:rPr>
                <w:rFonts w:hint="eastAsia" w:hAnsi="宋体" w:cs="宋体"/>
                <w:color w:val="auto"/>
                <w:kern w:val="0"/>
                <w:szCs w:val="21"/>
                <w:highlight w:val="none"/>
              </w:rPr>
              <w:t>≥100</w:t>
            </w:r>
          </w:p>
        </w:tc>
        <w:tc>
          <w:tcPr>
            <w:tcW w:w="336" w:type="pct"/>
            <w:tcBorders>
              <w:top w:val="nil"/>
              <w:left w:val="nil"/>
              <w:bottom w:val="single" w:color="auto" w:sz="4" w:space="0"/>
              <w:right w:val="single" w:color="auto" w:sz="4" w:space="0"/>
            </w:tcBorders>
            <w:noWrap/>
            <w:vAlign w:val="center"/>
          </w:tcPr>
          <w:p w14:paraId="755F9EA9">
            <w:pPr>
              <w:widowControl/>
              <w:spacing w:line="240" w:lineRule="atLeast"/>
              <w:jc w:val="center"/>
              <w:rPr>
                <w:rFonts w:hint="eastAsia" w:hAnsi="宋体" w:cs="宋体"/>
                <w:color w:val="auto"/>
                <w:kern w:val="0"/>
                <w:szCs w:val="21"/>
                <w:highlight w:val="none"/>
              </w:rPr>
            </w:pPr>
            <w:r>
              <w:rPr>
                <w:rFonts w:hint="eastAsia" w:hAnsi="宋体" w:cs="宋体"/>
                <w:color w:val="auto"/>
                <w:kern w:val="0"/>
                <w:szCs w:val="21"/>
                <w:highlight w:val="none"/>
              </w:rPr>
              <w:t>　</w:t>
            </w:r>
          </w:p>
        </w:tc>
        <w:tc>
          <w:tcPr>
            <w:tcW w:w="374" w:type="pct"/>
            <w:tcBorders>
              <w:top w:val="nil"/>
              <w:left w:val="nil"/>
              <w:bottom w:val="single" w:color="auto" w:sz="4" w:space="0"/>
              <w:right w:val="single" w:color="auto" w:sz="4" w:space="0"/>
            </w:tcBorders>
            <w:noWrap/>
            <w:vAlign w:val="center"/>
          </w:tcPr>
          <w:p w14:paraId="2753D4FD">
            <w:pPr>
              <w:widowControl/>
              <w:spacing w:line="240" w:lineRule="atLeast"/>
              <w:jc w:val="center"/>
              <w:rPr>
                <w:rFonts w:hint="eastAsia" w:hAnsi="宋体" w:cs="宋体"/>
                <w:color w:val="auto"/>
                <w:kern w:val="0"/>
                <w:szCs w:val="21"/>
                <w:highlight w:val="none"/>
              </w:rPr>
            </w:pPr>
            <w:r>
              <w:rPr>
                <w:rFonts w:hint="eastAsia" w:hAnsi="宋体" w:cs="宋体"/>
                <w:color w:val="auto"/>
                <w:kern w:val="0"/>
                <w:szCs w:val="21"/>
                <w:highlight w:val="none"/>
              </w:rPr>
              <w:t>　</w:t>
            </w:r>
          </w:p>
        </w:tc>
        <w:tc>
          <w:tcPr>
            <w:tcW w:w="332" w:type="pct"/>
            <w:tcBorders>
              <w:top w:val="nil"/>
              <w:left w:val="nil"/>
              <w:bottom w:val="single" w:color="auto" w:sz="4" w:space="0"/>
              <w:right w:val="single" w:color="auto" w:sz="4" w:space="0"/>
            </w:tcBorders>
            <w:noWrap/>
            <w:vAlign w:val="center"/>
          </w:tcPr>
          <w:p w14:paraId="18DE2C65">
            <w:pPr>
              <w:widowControl/>
              <w:spacing w:line="240" w:lineRule="atLeast"/>
              <w:jc w:val="center"/>
              <w:rPr>
                <w:rFonts w:hint="eastAsia" w:hAnsi="宋体" w:cs="宋体"/>
                <w:color w:val="auto"/>
                <w:kern w:val="0"/>
                <w:szCs w:val="21"/>
                <w:highlight w:val="none"/>
              </w:rPr>
            </w:pPr>
            <w:r>
              <w:rPr>
                <w:rFonts w:hint="eastAsia" w:hAnsi="宋体" w:cs="宋体"/>
                <w:color w:val="auto"/>
                <w:kern w:val="0"/>
                <w:szCs w:val="21"/>
                <w:highlight w:val="none"/>
              </w:rPr>
              <w:t>≥10</w:t>
            </w:r>
          </w:p>
        </w:tc>
        <w:tc>
          <w:tcPr>
            <w:tcW w:w="338" w:type="pct"/>
            <w:tcBorders>
              <w:top w:val="nil"/>
              <w:left w:val="nil"/>
              <w:bottom w:val="single" w:color="auto" w:sz="4" w:space="0"/>
              <w:right w:val="single" w:color="auto" w:sz="4" w:space="0"/>
            </w:tcBorders>
            <w:noWrap/>
            <w:vAlign w:val="center"/>
          </w:tcPr>
          <w:p w14:paraId="1B3377BD">
            <w:pPr>
              <w:widowControl/>
              <w:spacing w:line="240" w:lineRule="atLeast"/>
              <w:jc w:val="center"/>
              <w:rPr>
                <w:rFonts w:hint="eastAsia" w:hAnsi="宋体" w:cs="宋体"/>
                <w:color w:val="auto"/>
                <w:kern w:val="0"/>
                <w:szCs w:val="21"/>
                <w:highlight w:val="none"/>
              </w:rPr>
            </w:pPr>
            <w:r>
              <w:rPr>
                <w:rFonts w:hint="eastAsia" w:hAnsi="宋体" w:cs="宋体"/>
                <w:color w:val="auto"/>
                <w:kern w:val="0"/>
                <w:szCs w:val="21"/>
                <w:highlight w:val="none"/>
              </w:rPr>
              <w:t>　</w:t>
            </w:r>
          </w:p>
        </w:tc>
        <w:tc>
          <w:tcPr>
            <w:tcW w:w="374" w:type="pct"/>
            <w:tcBorders>
              <w:top w:val="nil"/>
              <w:left w:val="nil"/>
              <w:bottom w:val="single" w:color="auto" w:sz="4" w:space="0"/>
              <w:right w:val="single" w:color="auto" w:sz="4" w:space="0"/>
            </w:tcBorders>
            <w:noWrap/>
            <w:vAlign w:val="center"/>
          </w:tcPr>
          <w:p w14:paraId="69D86075">
            <w:pPr>
              <w:widowControl/>
              <w:spacing w:line="240" w:lineRule="atLeast"/>
              <w:jc w:val="center"/>
              <w:rPr>
                <w:rFonts w:hint="eastAsia" w:hAnsi="宋体" w:cs="宋体"/>
                <w:color w:val="auto"/>
                <w:kern w:val="0"/>
                <w:szCs w:val="21"/>
                <w:highlight w:val="none"/>
              </w:rPr>
            </w:pPr>
            <w:r>
              <w:rPr>
                <w:rFonts w:hint="eastAsia" w:hAnsi="宋体" w:cs="宋体"/>
                <w:color w:val="auto"/>
                <w:kern w:val="0"/>
                <w:szCs w:val="21"/>
                <w:highlight w:val="none"/>
              </w:rPr>
              <w:t>　</w:t>
            </w:r>
          </w:p>
        </w:tc>
        <w:tc>
          <w:tcPr>
            <w:tcW w:w="332" w:type="pct"/>
            <w:tcBorders>
              <w:top w:val="nil"/>
              <w:left w:val="nil"/>
              <w:bottom w:val="single" w:color="auto" w:sz="4" w:space="0"/>
              <w:right w:val="single" w:color="auto" w:sz="4" w:space="0"/>
            </w:tcBorders>
            <w:noWrap/>
            <w:vAlign w:val="center"/>
          </w:tcPr>
          <w:p w14:paraId="271F6A29">
            <w:pPr>
              <w:widowControl/>
              <w:spacing w:line="240" w:lineRule="atLeast"/>
              <w:jc w:val="center"/>
              <w:rPr>
                <w:rFonts w:hint="eastAsia" w:hAnsi="宋体" w:cs="宋体"/>
                <w:color w:val="auto"/>
                <w:kern w:val="0"/>
                <w:szCs w:val="21"/>
                <w:highlight w:val="none"/>
              </w:rPr>
            </w:pPr>
            <w:r>
              <w:rPr>
                <w:rFonts w:hint="eastAsia" w:hAnsi="宋体" w:cs="宋体"/>
                <w:color w:val="auto"/>
                <w:kern w:val="0"/>
                <w:szCs w:val="21"/>
                <w:highlight w:val="none"/>
              </w:rPr>
              <w:t>＜10</w:t>
            </w:r>
          </w:p>
        </w:tc>
        <w:tc>
          <w:tcPr>
            <w:tcW w:w="296" w:type="pct"/>
            <w:tcBorders>
              <w:top w:val="nil"/>
              <w:left w:val="nil"/>
              <w:bottom w:val="single" w:color="auto" w:sz="4" w:space="0"/>
              <w:right w:val="single" w:color="auto" w:sz="4" w:space="0"/>
            </w:tcBorders>
            <w:noWrap/>
            <w:vAlign w:val="center"/>
          </w:tcPr>
          <w:p w14:paraId="3458CFBC">
            <w:pPr>
              <w:widowControl/>
              <w:spacing w:line="240" w:lineRule="atLeast"/>
              <w:jc w:val="center"/>
              <w:rPr>
                <w:rFonts w:hint="eastAsia" w:hAnsi="宋体" w:cs="宋体"/>
                <w:color w:val="auto"/>
                <w:kern w:val="0"/>
                <w:szCs w:val="21"/>
                <w:highlight w:val="none"/>
              </w:rPr>
            </w:pPr>
            <w:r>
              <w:rPr>
                <w:rFonts w:hint="eastAsia" w:hAnsi="宋体" w:cs="宋体"/>
                <w:color w:val="auto"/>
                <w:kern w:val="0"/>
                <w:szCs w:val="21"/>
                <w:highlight w:val="none"/>
              </w:rPr>
              <w:t>　</w:t>
            </w:r>
          </w:p>
        </w:tc>
      </w:tr>
    </w:tbl>
    <w:p w14:paraId="216F912B">
      <w:pPr>
        <w:ind w:firstLine="404"/>
        <w:rPr>
          <w:rFonts w:hint="eastAsia" w:hAnsi="宋体"/>
          <w:color w:val="auto"/>
          <w:highlight w:val="none"/>
        </w:rPr>
      </w:pPr>
    </w:p>
    <w:p w14:paraId="337D999C">
      <w:pPr>
        <w:ind w:firstLine="404"/>
        <w:rPr>
          <w:rFonts w:hint="eastAsia" w:ascii="宋体" w:hAnsi="宋体" w:eastAsia="宋体"/>
          <w:color w:val="auto"/>
          <w:sz w:val="28"/>
          <w:szCs w:val="28"/>
          <w:highlight w:val="none"/>
        </w:rPr>
      </w:pPr>
      <w:r>
        <w:rPr>
          <w:rFonts w:hint="eastAsia" w:hAnsi="宋体"/>
          <w:color w:val="auto"/>
          <w:highlight w:val="none"/>
        </w:rPr>
        <w:t>注：大型、中型和小型企业须同时满足所列指标的下限，否则下划一档；微型企业只须满足所列指标中的一项即可</w:t>
      </w:r>
      <w:r>
        <w:rPr>
          <w:rFonts w:hint="eastAsia" w:hAnsi="宋体"/>
          <w:color w:val="auto"/>
          <w:highlight w:val="none"/>
          <w:lang w:eastAsia="zh-CN"/>
        </w:rPr>
        <w:t>。</w:t>
      </w:r>
    </w:p>
    <w:p w14:paraId="291DE821">
      <w:pPr>
        <w:ind w:firstLine="404"/>
        <w:rPr>
          <w:rFonts w:hint="eastAsia" w:ascii="宋体" w:hAnsi="宋体" w:eastAsia="宋体"/>
          <w:color w:val="auto"/>
          <w:sz w:val="28"/>
          <w:szCs w:val="28"/>
          <w:highlight w:val="none"/>
          <w:lang w:eastAsia="zh-CN"/>
        </w:rPr>
      </w:pPr>
    </w:p>
    <w:sectPr>
      <w:pgSz w:w="16838" w:h="11906" w:orient="landscape"/>
      <w:pgMar w:top="1440" w:right="1080" w:bottom="1440" w:left="1080" w:header="851" w:footer="992"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新宋体">
    <w:panose1 w:val="02010609030101010101"/>
    <w:charset w:val="86"/>
    <w:family w:val="modern"/>
    <w:pitch w:val="default"/>
    <w:sig w:usb0="00000203" w:usb1="288F0000" w:usb2="0000000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8A1AD9">
    <w:pPr>
      <w:pStyle w:val="12"/>
      <w:jc w:val="center"/>
      <w:rPr>
        <w:rFonts w:hint="eastAsia"/>
      </w:rP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8D94709">
                          <w:pPr>
                            <w:pStyle w:val="12"/>
                            <w:rPr>
                              <w:rFonts w:hint="eastAsia"/>
                            </w:rPr>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9Aknl8cBAACZ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FOIaoD31ZolwPwptjwiZKb7nCBDsXxokVdvN25ZV4fC9ZD3/U9g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OqXm5zwAAAAUBAAAPAAAAAAAAAAEAIAAAACIAAABkcnMvZG93bnJldi54bWxQ&#10;SwECFAAUAAAACACHTuJA9Aknl8cBAACZAwAADgAAAAAAAAABACAAAAAeAQAAZHJzL2Uyb0RvYy54&#10;bWxQSwUGAAAAAAYABgBZAQAAVwUAAAAA&#10;">
              <v:fill on="f" focussize="0,0"/>
              <v:stroke on="f"/>
              <v:imagedata o:title=""/>
              <o:lock v:ext="edit" aspectratio="f"/>
              <v:textbox inset="0mm,0mm,0mm,0mm" style="mso-fit-shape-to-text:t;">
                <w:txbxContent>
                  <w:p w14:paraId="38D94709">
                    <w:pPr>
                      <w:pStyle w:val="12"/>
                      <w:rPr>
                        <w:rFonts w:hint="eastAsia"/>
                      </w:rPr>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64DDD5">
    <w:pPr>
      <w:pStyle w:val="12"/>
      <w:framePr w:wrap="around" w:vAnchor="text" w:hAnchor="margin" w:xAlign="center" w:y="1"/>
      <w:rPr>
        <w:rStyle w:val="19"/>
        <w:rFonts w:hint="eastAsia"/>
      </w:rPr>
    </w:pPr>
    <w:r>
      <w:rPr>
        <w:rFonts w:hint="eastAsia"/>
      </w:rPr>
      <w:fldChar w:fldCharType="begin"/>
    </w:r>
    <w:r>
      <w:rPr>
        <w:rStyle w:val="19"/>
        <w:rFonts w:hint="eastAsia"/>
      </w:rPr>
      <w:instrText xml:space="preserve">PAGE  </w:instrText>
    </w:r>
    <w:r>
      <w:rPr>
        <w:rFonts w:hint="eastAsia"/>
      </w:rPr>
      <w:fldChar w:fldCharType="separate"/>
    </w:r>
    <w:r>
      <w:rPr>
        <w:rFonts w:hint="eastAsia"/>
      </w:rPr>
      <w:t xml:space="preserve"> </w:t>
    </w:r>
    <w:r>
      <w:rPr>
        <w:rFonts w:hint="eastAsia"/>
      </w:rPr>
      <w:fldChar w:fldCharType="end"/>
    </w:r>
  </w:p>
  <w:p w14:paraId="6DF6EDFA">
    <w:pPr>
      <w:rPr>
        <w:sz w:val="2"/>
        <w:szCs w:val="2"/>
      </w:rPr>
    </w:pPr>
    <w:r>
      <mc:AlternateContent>
        <mc:Choice Requires="wps">
          <w:drawing>
            <wp:anchor distT="0" distB="0" distL="114300" distR="114300" simplePos="0" relativeHeight="251659264" behindDoc="1" locked="0" layoutInCell="1" allowOverlap="1">
              <wp:simplePos x="0" y="0"/>
              <wp:positionH relativeFrom="page">
                <wp:posOffset>3457575</wp:posOffset>
              </wp:positionH>
              <wp:positionV relativeFrom="page">
                <wp:posOffset>10249535</wp:posOffset>
              </wp:positionV>
              <wp:extent cx="231775" cy="73025"/>
              <wp:effectExtent l="0" t="0" r="0" b="0"/>
              <wp:wrapNone/>
              <wp:docPr id="3" name="文本框 3"/>
              <wp:cNvGraphicFramePr/>
              <a:graphic xmlns:a="http://schemas.openxmlformats.org/drawingml/2006/main">
                <a:graphicData uri="http://schemas.microsoft.com/office/word/2010/wordprocessingShape">
                  <wps:wsp>
                    <wps:cNvSpPr txBox="1"/>
                    <wps:spPr>
                      <a:xfrm>
                        <a:off x="0" y="0"/>
                        <a:ext cx="231775" cy="73025"/>
                      </a:xfrm>
                      <a:prstGeom prst="rect">
                        <a:avLst/>
                      </a:prstGeom>
                      <a:noFill/>
                      <a:ln w="9525">
                        <a:noFill/>
                      </a:ln>
                      <a:effectLst/>
                    </wps:spPr>
                    <wps:txbx>
                      <w:txbxContent>
                        <w:p w14:paraId="3D74C55E">
                          <w:pPr>
                            <w:pStyle w:val="24"/>
                            <w:shd w:val="clear" w:color="auto" w:fill="auto"/>
                            <w:spacing w:line="240" w:lineRule="auto"/>
                          </w:pPr>
                          <w:r>
                            <w:rPr>
                              <w:rStyle w:val="25"/>
                              <w:b/>
                              <w:bCs/>
                              <w:color w:val="000000"/>
                              <w:lang w:eastAsia="en-US"/>
                            </w:rPr>
                            <w:t>-</w:t>
                          </w:r>
                          <w:r>
                            <w:fldChar w:fldCharType="begin"/>
                          </w:r>
                          <w:r>
                            <w:instrText xml:space="preserve"> PAGE \* MERGEFORMAT </w:instrText>
                          </w:r>
                          <w:r>
                            <w:fldChar w:fldCharType="separate"/>
                          </w:r>
                          <w:r>
                            <w:rPr>
                              <w:rStyle w:val="25"/>
                              <w:b w:val="0"/>
                              <w:bCs w:val="0"/>
                              <w:color w:val="000000"/>
                              <w:lang w:val="zh-TW" w:eastAsia="zh-TW"/>
                            </w:rPr>
                            <w:t>48</w:t>
                          </w:r>
                          <w:r>
                            <w:fldChar w:fldCharType="end"/>
                          </w:r>
                          <w:r>
                            <w:rPr>
                              <w:rStyle w:val="26"/>
                              <w:b/>
                              <w:bCs/>
                              <w:color w:val="000000"/>
                              <w:lang w:val="zh-TW" w:eastAsia="zh-TW"/>
                            </w:rPr>
                            <w:t xml:space="preserve"> </w:t>
                          </w:r>
                          <w:r>
                            <w:rPr>
                              <w:rStyle w:val="26"/>
                              <w:b/>
                              <w:bCs/>
                              <w:color w:val="000000"/>
                              <w:lang w:eastAsia="en-US"/>
                            </w:rPr>
                            <w:t>-</w:t>
                          </w:r>
                        </w:p>
                      </w:txbxContent>
                    </wps:txbx>
                    <wps:bodyPr lIns="0" tIns="0" rIns="0" bIns="0" upright="1"/>
                  </wps:wsp>
                </a:graphicData>
              </a:graphic>
            </wp:anchor>
          </w:drawing>
        </mc:Choice>
        <mc:Fallback>
          <w:pict>
            <v:shape id="_x0000_s1026" o:spid="_x0000_s1026" o:spt="202" type="#_x0000_t202" style="position:absolute;left:0pt;margin-left:272.25pt;margin-top:807.05pt;height:5.75pt;width:18.25pt;mso-position-horizontal-relative:page;mso-position-vertical-relative:page;z-index:-251657216;mso-width-relative:page;mso-height-relative:page;" filled="f" stroked="f" coordsize="21600,21600" o:gfxdata="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CQXBeY2gAAAA0BAAAPAAAAAAAAAAEAIAAAACIAAABkcnMvZG93&#10;bnJldi54bWxQSwECFAAUAAAACACHTuJApxHg7cUBAACHAwAADgAAAAAAAAABACAAAAApAQAAZHJz&#10;L2Uyb0RvYy54bWxQSwUGAAAAAAYABgBZAQAAYAUAAAAA&#10;">
              <v:fill on="f" focussize="0,0"/>
              <v:stroke on="f"/>
              <v:imagedata o:title=""/>
              <o:lock v:ext="edit" aspectratio="f"/>
              <v:textbox inset="0mm,0mm,0mm,0mm">
                <w:txbxContent>
                  <w:p w14:paraId="3D74C55E">
                    <w:pPr>
                      <w:pStyle w:val="24"/>
                      <w:shd w:val="clear" w:color="auto" w:fill="auto"/>
                      <w:spacing w:line="240" w:lineRule="auto"/>
                    </w:pPr>
                    <w:r>
                      <w:rPr>
                        <w:rStyle w:val="25"/>
                        <w:b/>
                        <w:bCs/>
                        <w:color w:val="000000"/>
                        <w:lang w:eastAsia="en-US"/>
                      </w:rPr>
                      <w:t>-</w:t>
                    </w:r>
                    <w:r>
                      <w:fldChar w:fldCharType="begin"/>
                    </w:r>
                    <w:r>
                      <w:instrText xml:space="preserve"> PAGE \* MERGEFORMAT </w:instrText>
                    </w:r>
                    <w:r>
                      <w:fldChar w:fldCharType="separate"/>
                    </w:r>
                    <w:r>
                      <w:rPr>
                        <w:rStyle w:val="25"/>
                        <w:b w:val="0"/>
                        <w:bCs w:val="0"/>
                        <w:color w:val="000000"/>
                        <w:lang w:val="zh-TW" w:eastAsia="zh-TW"/>
                      </w:rPr>
                      <w:t>48</w:t>
                    </w:r>
                    <w:r>
                      <w:fldChar w:fldCharType="end"/>
                    </w:r>
                    <w:r>
                      <w:rPr>
                        <w:rStyle w:val="26"/>
                        <w:b/>
                        <w:bCs/>
                        <w:color w:val="000000"/>
                        <w:lang w:val="zh-TW" w:eastAsia="zh-TW"/>
                      </w:rPr>
                      <w:t xml:space="preserve"> </w:t>
                    </w:r>
                    <w:r>
                      <w:rPr>
                        <w:rStyle w:val="26"/>
                        <w:b/>
                        <w:bCs/>
                        <w:color w:val="000000"/>
                        <w:lang w:eastAsia="en-US"/>
                      </w:rPr>
                      <w:t>-</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4A0F32">
    <w:pPr>
      <w:pStyle w:val="12"/>
      <w:jc w:val="center"/>
      <w:rPr>
        <w:rFonts w:hint="eastAsia"/>
      </w:rP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58F859B">
                          <w:pPr>
                            <w:pStyle w:val="12"/>
                            <w:rPr>
                              <w:rFonts w:hint="eastAsia"/>
                            </w:rPr>
                          </w:pPr>
                          <w:r>
                            <w:rPr>
                              <w:rFonts w:hint="eastAsia"/>
                            </w:rPr>
                            <w:fldChar w:fldCharType="begin"/>
                          </w:r>
                          <w:r>
                            <w:rPr>
                              <w:rFonts w:hint="eastAsia"/>
                            </w:rPr>
                            <w:instrText xml:space="preserve"> PAGE  \* MERGEFORMAT </w:instrText>
                          </w:r>
                          <w:r>
                            <w:rPr>
                              <w:rFonts w:hint="eastAsia"/>
                            </w:rPr>
                            <w:fldChar w:fldCharType="separate"/>
                          </w:r>
                          <w:r>
                            <w:t>3</w:t>
                          </w:r>
                          <w:r>
                            <w:rPr>
                              <w:rFonts w:hint="eastAsia"/>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458F859B">
                    <w:pPr>
                      <w:pStyle w:val="12"/>
                      <w:rPr>
                        <w:rFonts w:hint="eastAsia"/>
                      </w:rPr>
                    </w:pPr>
                    <w:r>
                      <w:rPr>
                        <w:rFonts w:hint="eastAsia"/>
                      </w:rPr>
                      <w:fldChar w:fldCharType="begin"/>
                    </w:r>
                    <w:r>
                      <w:rPr>
                        <w:rFonts w:hint="eastAsia"/>
                      </w:rPr>
                      <w:instrText xml:space="preserve"> PAGE  \* MERGEFORMAT </w:instrText>
                    </w:r>
                    <w:r>
                      <w:rPr>
                        <w:rFonts w:hint="eastAsia"/>
                      </w:rPr>
                      <w:fldChar w:fldCharType="separate"/>
                    </w:r>
                    <w:r>
                      <w:t>3</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24B467">
    <w:pPr>
      <w:rPr>
        <w:rFonts w:hint="eastAsia"/>
        <w:sz w:val="18"/>
      </w:rPr>
    </w:pPr>
  </w:p>
  <w:p w14:paraId="0E1CC2D6">
    <w:pPr>
      <w:pStyle w:val="13"/>
      <w:pBdr>
        <w:bottom w:val="none" w:color="auto" w:sz="0" w:space="1"/>
      </w:pBdr>
      <w:jc w:val="both"/>
      <w:rPr>
        <w:rFonts w:hint="eastAsia" w:ascii="仿宋_GB2312" w:hAnsi="仿宋_GB2312" w:eastAsia="仿宋_GB2312" w:cs="仿宋_GB231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764CB0">
    <w:pPr>
      <w:pStyle w:val="13"/>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4B39C5">
    <w:pPr>
      <w:pStyle w:val="6"/>
      <w:rPr>
        <w:rFonts w:hint="eastAsia" w:ascii="仿宋_GB2312" w:eastAsia="仿宋_GB2312"/>
        <w:b/>
        <w:w w:val="90"/>
        <w:sz w:val="22"/>
        <w:szCs w:val="84"/>
      </w:rPr>
    </w:pPr>
  </w:p>
  <w:p w14:paraId="6F61196A">
    <w:pPr>
      <w:wordWrap w:val="0"/>
      <w:rPr>
        <w:rFonts w:hint="eastAsia" w:ascii="仿宋_GB2312" w:hAnsi="仿宋_GB2312" w:eastAsia="仿宋_GB2312" w:cs="仿宋_GB231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UxN2NiYzgxZDZkZWNlYWNkYzQzNzczMzQwNWEwN2EifQ=="/>
  </w:docVars>
  <w:rsids>
    <w:rsidRoot w:val="1F9F27A6"/>
    <w:rsid w:val="01C9064A"/>
    <w:rsid w:val="02C95E5D"/>
    <w:rsid w:val="02CA4D33"/>
    <w:rsid w:val="02E35A2A"/>
    <w:rsid w:val="050F6813"/>
    <w:rsid w:val="066E57BB"/>
    <w:rsid w:val="085D5AE7"/>
    <w:rsid w:val="08C629BD"/>
    <w:rsid w:val="0B13724D"/>
    <w:rsid w:val="0B1863C5"/>
    <w:rsid w:val="0C0761D8"/>
    <w:rsid w:val="0F790AF2"/>
    <w:rsid w:val="0FD7163E"/>
    <w:rsid w:val="106C1309"/>
    <w:rsid w:val="11851C0B"/>
    <w:rsid w:val="1214410B"/>
    <w:rsid w:val="1319769A"/>
    <w:rsid w:val="14AA56EE"/>
    <w:rsid w:val="16E42F30"/>
    <w:rsid w:val="17444072"/>
    <w:rsid w:val="1C7C3066"/>
    <w:rsid w:val="1F9F27A6"/>
    <w:rsid w:val="211A5ECC"/>
    <w:rsid w:val="235C72EB"/>
    <w:rsid w:val="23B83D84"/>
    <w:rsid w:val="274C7850"/>
    <w:rsid w:val="278E7244"/>
    <w:rsid w:val="290468F1"/>
    <w:rsid w:val="2D5B6981"/>
    <w:rsid w:val="2F786125"/>
    <w:rsid w:val="34C54967"/>
    <w:rsid w:val="34D40511"/>
    <w:rsid w:val="350676B4"/>
    <w:rsid w:val="352A7739"/>
    <w:rsid w:val="3AB0196D"/>
    <w:rsid w:val="3AE13EDC"/>
    <w:rsid w:val="42350AD0"/>
    <w:rsid w:val="430057BB"/>
    <w:rsid w:val="45CE02B5"/>
    <w:rsid w:val="4677264F"/>
    <w:rsid w:val="47D04464"/>
    <w:rsid w:val="485C4CA4"/>
    <w:rsid w:val="492C0AD0"/>
    <w:rsid w:val="4AD44D7C"/>
    <w:rsid w:val="4ADA1E98"/>
    <w:rsid w:val="4CAE488C"/>
    <w:rsid w:val="50067067"/>
    <w:rsid w:val="507A0B71"/>
    <w:rsid w:val="51375BE8"/>
    <w:rsid w:val="51574258"/>
    <w:rsid w:val="53F266B1"/>
    <w:rsid w:val="55823A64"/>
    <w:rsid w:val="559876AA"/>
    <w:rsid w:val="55DA1CDD"/>
    <w:rsid w:val="57F73E98"/>
    <w:rsid w:val="596C7DDD"/>
    <w:rsid w:val="59CA59DA"/>
    <w:rsid w:val="5A150D5F"/>
    <w:rsid w:val="5D966A9B"/>
    <w:rsid w:val="5E232B79"/>
    <w:rsid w:val="5F473E1F"/>
    <w:rsid w:val="603C46F3"/>
    <w:rsid w:val="60506C2C"/>
    <w:rsid w:val="606825C6"/>
    <w:rsid w:val="60D159FE"/>
    <w:rsid w:val="61C018F6"/>
    <w:rsid w:val="62C51434"/>
    <w:rsid w:val="63BF40D6"/>
    <w:rsid w:val="63FC0211"/>
    <w:rsid w:val="641A4DC8"/>
    <w:rsid w:val="651D0BE1"/>
    <w:rsid w:val="66006F35"/>
    <w:rsid w:val="66C13CC1"/>
    <w:rsid w:val="66CE012C"/>
    <w:rsid w:val="68615838"/>
    <w:rsid w:val="6AE60043"/>
    <w:rsid w:val="6B815558"/>
    <w:rsid w:val="6C2C4563"/>
    <w:rsid w:val="6CF51945"/>
    <w:rsid w:val="6D2B5D07"/>
    <w:rsid w:val="6D2C019F"/>
    <w:rsid w:val="719E09B0"/>
    <w:rsid w:val="741A2B07"/>
    <w:rsid w:val="75AF6660"/>
    <w:rsid w:val="760E211E"/>
    <w:rsid w:val="764707FF"/>
    <w:rsid w:val="792A4C42"/>
    <w:rsid w:val="7A9A64AE"/>
    <w:rsid w:val="7BC10593"/>
    <w:rsid w:val="7CCC11BC"/>
    <w:rsid w:val="7DA6581D"/>
    <w:rsid w:val="7E0E7841"/>
    <w:rsid w:val="7ECA3C03"/>
    <w:rsid w:val="7F1D0A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3"/>
    <w:next w:val="1"/>
    <w:autoRedefine/>
    <w:qFormat/>
    <w:uiPriority w:val="0"/>
    <w:pPr>
      <w:spacing w:line="360" w:lineRule="auto"/>
      <w:ind w:left="0" w:leftChars="0"/>
      <w:jc w:val="center"/>
      <w:outlineLvl w:val="0"/>
    </w:pPr>
    <w:rPr>
      <w:rFonts w:ascii="新宋体" w:hAnsi="新宋体" w:eastAsia="新宋体"/>
      <w:b/>
      <w:sz w:val="32"/>
      <w:szCs w:val="44"/>
    </w:rPr>
  </w:style>
  <w:style w:type="paragraph" w:styleId="4">
    <w:name w:val="heading 2"/>
    <w:basedOn w:val="1"/>
    <w:next w:val="5"/>
    <w:autoRedefine/>
    <w:qFormat/>
    <w:uiPriority w:val="0"/>
    <w:pPr>
      <w:keepNext/>
      <w:keepLines/>
      <w:spacing w:before="120" w:after="120" w:line="360" w:lineRule="auto"/>
      <w:jc w:val="center"/>
      <w:outlineLvl w:val="1"/>
    </w:pPr>
    <w:rPr>
      <w:rFonts w:ascii="宋体" w:hAnsi="宋体"/>
      <w:b/>
      <w:bCs/>
      <w:kern w:val="0"/>
      <w:sz w:val="30"/>
      <w:szCs w:val="32"/>
    </w:rPr>
  </w:style>
  <w:style w:type="character" w:default="1" w:styleId="18">
    <w:name w:val="Default Paragraph Font"/>
    <w:autoRedefine/>
    <w:semiHidden/>
    <w:qFormat/>
    <w:uiPriority w:val="0"/>
  </w:style>
  <w:style w:type="table" w:default="1" w:styleId="16">
    <w:name w:val="Normal Table"/>
    <w:autoRedefine/>
    <w:semiHidden/>
    <w:qFormat/>
    <w:uiPriority w:val="0"/>
    <w:tblPr>
      <w:tblCellMar>
        <w:top w:w="0" w:type="dxa"/>
        <w:left w:w="108" w:type="dxa"/>
        <w:bottom w:w="0" w:type="dxa"/>
        <w:right w:w="108" w:type="dxa"/>
      </w:tblCellMar>
    </w:tblPr>
  </w:style>
  <w:style w:type="paragraph" w:styleId="3">
    <w:name w:val="Date"/>
    <w:basedOn w:val="1"/>
    <w:next w:val="1"/>
    <w:autoRedefine/>
    <w:qFormat/>
    <w:uiPriority w:val="0"/>
    <w:pPr>
      <w:ind w:left="2500" w:leftChars="2500"/>
    </w:pPr>
    <w:rPr>
      <w:rFonts w:ascii="宋体"/>
    </w:rPr>
  </w:style>
  <w:style w:type="paragraph" w:styleId="5">
    <w:name w:val="Normal Indent"/>
    <w:basedOn w:val="1"/>
    <w:next w:val="1"/>
    <w:autoRedefine/>
    <w:qFormat/>
    <w:uiPriority w:val="0"/>
    <w:pPr>
      <w:ind w:firstLine="420"/>
    </w:pPr>
    <w:rPr>
      <w:szCs w:val="20"/>
    </w:rPr>
  </w:style>
  <w:style w:type="paragraph" w:styleId="6">
    <w:name w:val="Body Text"/>
    <w:basedOn w:val="7"/>
    <w:autoRedefine/>
    <w:qFormat/>
    <w:uiPriority w:val="0"/>
    <w:pPr>
      <w:spacing w:after="120" w:afterLines="0"/>
    </w:pPr>
    <w:rPr>
      <w:szCs w:val="24"/>
    </w:rPr>
  </w:style>
  <w:style w:type="paragraph" w:customStyle="1" w:styleId="7">
    <w:name w:val="正文_0"/>
    <w:basedOn w:val="8"/>
    <w:autoRedefine/>
    <w:qFormat/>
    <w:uiPriority w:val="0"/>
    <w:pPr>
      <w:widowControl w:val="0"/>
      <w:jc w:val="both"/>
    </w:pPr>
    <w:rPr>
      <w:rFonts w:ascii="Calibri" w:hAnsi="Calibri"/>
      <w:kern w:val="2"/>
      <w:sz w:val="21"/>
      <w:szCs w:val="22"/>
      <w:lang w:val="en-US" w:eastAsia="zh-CN" w:bidi="ar-SA"/>
    </w:rPr>
  </w:style>
  <w:style w:type="paragraph" w:customStyle="1" w:styleId="8">
    <w:name w:val="正文_1"/>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9">
    <w:name w:val="Body Text Indent"/>
    <w:basedOn w:val="1"/>
    <w:autoRedefine/>
    <w:qFormat/>
    <w:uiPriority w:val="0"/>
    <w:pPr>
      <w:spacing w:line="240" w:lineRule="atLeast"/>
      <w:ind w:firstLine="390"/>
    </w:pPr>
    <w:rPr>
      <w:rFonts w:ascii="宋体" w:hAnsi="宋体" w:eastAsia="仿宋_GB2312"/>
    </w:rPr>
  </w:style>
  <w:style w:type="paragraph" w:styleId="10">
    <w:name w:val="toc 3"/>
    <w:basedOn w:val="1"/>
    <w:next w:val="1"/>
    <w:uiPriority w:val="0"/>
    <w:pPr>
      <w:ind w:left="840" w:leftChars="400"/>
    </w:pPr>
  </w:style>
  <w:style w:type="paragraph" w:styleId="11">
    <w:name w:val="Plain Text"/>
    <w:basedOn w:val="1"/>
    <w:next w:val="1"/>
    <w:autoRedefine/>
    <w:qFormat/>
    <w:uiPriority w:val="0"/>
    <w:rPr>
      <w:rFonts w:ascii="宋体"/>
    </w:rPr>
  </w:style>
  <w:style w:type="paragraph" w:styleId="12">
    <w:name w:val="footer"/>
    <w:basedOn w:val="1"/>
    <w:autoRedefine/>
    <w:qFormat/>
    <w:uiPriority w:val="0"/>
    <w:pPr>
      <w:tabs>
        <w:tab w:val="center" w:pos="4153"/>
        <w:tab w:val="right" w:pos="8306"/>
      </w:tabs>
      <w:snapToGrid w:val="0"/>
      <w:jc w:val="left"/>
    </w:pPr>
    <w:rPr>
      <w:sz w:val="18"/>
    </w:rPr>
  </w:style>
  <w:style w:type="paragraph" w:styleId="13">
    <w:name w:val="header"/>
    <w:basedOn w:val="1"/>
    <w:autoRedefine/>
    <w:qFormat/>
    <w:uiPriority w:val="0"/>
    <w:pPr>
      <w:pBdr>
        <w:bottom w:val="single" w:color="auto" w:sz="6" w:space="1"/>
      </w:pBdr>
      <w:tabs>
        <w:tab w:val="center" w:pos="4153"/>
        <w:tab w:val="right" w:pos="8306"/>
      </w:tabs>
      <w:snapToGrid w:val="0"/>
      <w:jc w:val="center"/>
    </w:pPr>
    <w:rPr>
      <w:sz w:val="18"/>
    </w:rPr>
  </w:style>
  <w:style w:type="paragraph" w:styleId="14">
    <w:name w:val="toc 1"/>
    <w:basedOn w:val="1"/>
    <w:next w:val="1"/>
    <w:autoRedefine/>
    <w:qFormat/>
    <w:uiPriority w:val="0"/>
    <w:pPr>
      <w:widowControl/>
    </w:pPr>
    <w:rPr>
      <w:rFonts w:ascii="宋体" w:cs="Arial"/>
      <w:kern w:val="0"/>
      <w:szCs w:val="21"/>
      <w:lang w:bidi="ar-SA"/>
    </w:rPr>
  </w:style>
  <w:style w:type="paragraph" w:styleId="15">
    <w:name w:val="toc 2"/>
    <w:basedOn w:val="1"/>
    <w:next w:val="1"/>
    <w:autoRedefine/>
    <w:qFormat/>
    <w:uiPriority w:val="0"/>
    <w:pPr>
      <w:ind w:left="420" w:leftChars="200"/>
    </w:pPr>
  </w:style>
  <w:style w:type="table" w:styleId="17">
    <w:name w:val="Table Grid"/>
    <w:basedOn w:val="16"/>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page number"/>
    <w:basedOn w:val="18"/>
    <w:autoRedefine/>
    <w:qFormat/>
    <w:uiPriority w:val="0"/>
  </w:style>
  <w:style w:type="paragraph" w:customStyle="1" w:styleId="20">
    <w:name w:val="正文_2"/>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21">
    <w:name w:val="Normal Indent"/>
    <w:basedOn w:val="1"/>
    <w:autoRedefine/>
    <w:qFormat/>
    <w:uiPriority w:val="0"/>
    <w:pPr>
      <w:ind w:firstLine="420"/>
    </w:pPr>
  </w:style>
  <w:style w:type="paragraph" w:customStyle="1" w:styleId="22">
    <w:name w:val="Normal_2"/>
    <w:autoRedefine/>
    <w:qFormat/>
    <w:uiPriority w:val="0"/>
    <w:pPr>
      <w:widowControl w:val="0"/>
      <w:ind w:firstLine="420" w:firstLineChars="200"/>
      <w:jc w:val="both"/>
    </w:pPr>
    <w:rPr>
      <w:rFonts w:ascii="Calibri" w:hAnsi="Calibri" w:eastAsia="宋体" w:cs="Times New Roman"/>
      <w:kern w:val="2"/>
      <w:sz w:val="21"/>
      <w:szCs w:val="22"/>
      <w:lang w:bidi="ar-SA"/>
    </w:rPr>
  </w:style>
  <w:style w:type="paragraph" w:customStyle="1" w:styleId="23">
    <w:name w:val="Normal_0_0"/>
    <w:autoRedefine/>
    <w:qFormat/>
    <w:uiPriority w:val="0"/>
    <w:pPr>
      <w:widowControl w:val="0"/>
      <w:ind w:firstLine="420" w:firstLineChars="200"/>
      <w:jc w:val="both"/>
    </w:pPr>
    <w:rPr>
      <w:rFonts w:ascii="Calibri" w:hAnsi="Calibri" w:eastAsia="Times New Roman" w:cs="Times New Roman"/>
      <w:kern w:val="2"/>
      <w:sz w:val="21"/>
      <w:szCs w:val="22"/>
      <w:lang w:val="en-US" w:eastAsia="zh-CN" w:bidi="ar-SA"/>
    </w:rPr>
  </w:style>
  <w:style w:type="paragraph" w:customStyle="1" w:styleId="24">
    <w:name w:val="页眉或页脚1"/>
    <w:basedOn w:val="1"/>
    <w:autoRedefine/>
    <w:qFormat/>
    <w:uiPriority w:val="0"/>
    <w:pPr>
      <w:shd w:val="clear" w:color="auto" w:fill="FFFFFF"/>
      <w:spacing w:line="240" w:lineRule="atLeast"/>
      <w:jc w:val="left"/>
    </w:pPr>
    <w:rPr>
      <w:b/>
      <w:bCs/>
      <w:kern w:val="0"/>
      <w:sz w:val="16"/>
      <w:szCs w:val="16"/>
    </w:rPr>
  </w:style>
  <w:style w:type="character" w:customStyle="1" w:styleId="25">
    <w:name w:val="页眉或页脚"/>
    <w:autoRedefine/>
    <w:qFormat/>
    <w:uiPriority w:val="0"/>
    <w:rPr>
      <w:b/>
      <w:bCs/>
      <w:sz w:val="16"/>
      <w:szCs w:val="16"/>
      <w:lang w:bidi="ar-SA"/>
    </w:rPr>
  </w:style>
  <w:style w:type="character" w:customStyle="1" w:styleId="26">
    <w:name w:val="页眉或页脚 + 4 pt"/>
    <w:autoRedefine/>
    <w:qFormat/>
    <w:uiPriority w:val="0"/>
    <w:rPr>
      <w:b/>
      <w:bCs/>
      <w:sz w:val="8"/>
      <w:szCs w:val="8"/>
      <w:lang w:bidi="ar-SA"/>
    </w:rPr>
  </w:style>
  <w:style w:type="paragraph" w:customStyle="1" w:styleId="27">
    <w:name w:val="正文_4"/>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8">
    <w:name w:val="标题 3_0"/>
    <w:basedOn w:val="29"/>
    <w:next w:val="29"/>
    <w:unhideWhenUsed/>
    <w:qFormat/>
    <w:uiPriority w:val="0"/>
    <w:pPr>
      <w:keepNext/>
      <w:keepLines/>
      <w:spacing w:before="260" w:after="260" w:line="416" w:lineRule="auto"/>
      <w:outlineLvl w:val="2"/>
    </w:pPr>
    <w:rPr>
      <w:rFonts w:ascii="Times New Roman" w:hAnsi="Times New Roman"/>
      <w:b/>
      <w:bCs/>
      <w:sz w:val="32"/>
      <w:szCs w:val="32"/>
    </w:rPr>
  </w:style>
  <w:style w:type="paragraph" w:customStyle="1" w:styleId="29">
    <w:name w:val="正文_0_1"/>
    <w:qFormat/>
    <w:uiPriority w:val="0"/>
    <w:pPr>
      <w:widowControl w:val="0"/>
      <w:jc w:val="both"/>
    </w:pPr>
    <w:rPr>
      <w:rFonts w:ascii="Calibri" w:hAnsi="Calibri" w:eastAsia="宋体" w:cs="Times New Roman"/>
      <w:kern w:val="2"/>
      <w:sz w:val="21"/>
      <w:szCs w:val="22"/>
      <w:lang w:val="en-US" w:eastAsia="zh-CN" w:bidi="ar-SA"/>
    </w:rPr>
  </w:style>
  <w:style w:type="paragraph" w:customStyle="1" w:styleId="30">
    <w:name w:val="正文缩进_2"/>
    <w:basedOn w:val="29"/>
    <w:unhideWhenUsed/>
    <w:qFormat/>
    <w:uiPriority w:val="0"/>
    <w:pPr>
      <w:ind w:firstLine="420" w:firstLineChars="200"/>
    </w:pPr>
    <w:rPr>
      <w:kern w:val="0"/>
      <w:sz w:val="20"/>
      <w:szCs w:val="20"/>
    </w:rPr>
  </w:style>
  <w:style w:type="paragraph" w:customStyle="1" w:styleId="31">
    <w:name w:val="正文_0_0"/>
    <w:qFormat/>
    <w:uiPriority w:val="0"/>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33</Pages>
  <Words>15384</Words>
  <Characters>16082</Characters>
  <Lines>0</Lines>
  <Paragraphs>0</Paragraphs>
  <TotalTime>2</TotalTime>
  <ScaleCrop>false</ScaleCrop>
  <LinksUpToDate>false</LinksUpToDate>
  <CharactersWithSpaces>16770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2024-01-04T03:39:00Z</dcterms:created>
  <dc:creator>NTKO</dc:creator>
  <cp:lastModifiedBy>熊熊</cp:lastModifiedBy>
  <cp:lastPrinted>2024-02-27T07:55:00Z</cp:lastPrinted>
  <dcterms:modified xsi:type="dcterms:W3CDTF">2026-05-09T07:38:11Z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FBB51DEC46FA4A5CB7AFCF7223DD57D1_13</vt:lpwstr>
  </property>
  <property fmtid="{D5CDD505-2E9C-101B-9397-08002B2CF9AE}" pid="4" name="KSOTemplateDocerSaveRecord">
    <vt:lpwstr>eyJoZGlkIjoiYTA2OGFiZGUwZDJiMmEyYTdiYjBiNDExMzMzNGVjNmIiLCJ1c2VySWQiOiI1MzQ3NDE4ODAifQ==</vt:lpwstr>
  </property>
</Properties>
</file>