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CC16F">
      <w:pPr>
        <w:rPr>
          <w:rFonts w:hint="default"/>
          <w:sz w:val="36"/>
          <w:szCs w:val="21"/>
          <w:lang w:val="en-US" w:eastAsia="zh-CN"/>
        </w:rPr>
      </w:pPr>
      <w:r>
        <w:rPr>
          <w:rFonts w:hint="eastAsia" w:ascii="国标楷体" w:hAnsi="国标楷体" w:eastAsia="国标楷体" w:cs="国标楷体"/>
          <w:sz w:val="32"/>
          <w:szCs w:val="32"/>
          <w:lang w:val="en-US" w:eastAsia="zh-CN"/>
        </w:rPr>
        <w:t>附件1</w:t>
      </w:r>
    </w:p>
    <w:p w14:paraId="0E1F9AD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rPr>
      </w:pPr>
      <w:bookmarkStart w:id="0" w:name="_GoBack"/>
      <w:bookmarkEnd w:id="0"/>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项目概况：</w:t>
      </w:r>
    </w:p>
    <w:p w14:paraId="0A8F5AD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为切实提升宜昌市夷陵区统计局网络边界安全防护能力，筑牢网络安全防线，保障统计业务系统稳定、安全运行，拟采购防火墙设备并部署于</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网络出口处，通过边界访问控制、入侵防御、恶意流量检测等安全能力，实现对网络边界的全方位安全防护。</w:t>
      </w:r>
    </w:p>
    <w:p w14:paraId="36C106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二、采购清单</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2354"/>
        <w:gridCol w:w="1701"/>
        <w:gridCol w:w="1705"/>
        <w:gridCol w:w="1708"/>
      </w:tblGrid>
      <w:tr w14:paraId="1088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17" w:type="pct"/>
            <w:noWrap w:val="0"/>
            <w:vAlign w:val="center"/>
          </w:tcPr>
          <w:p w14:paraId="69E03D0A">
            <w:pPr>
              <w:spacing w:line="360" w:lineRule="auto"/>
              <w:jc w:val="center"/>
              <w:rPr>
                <w:rFonts w:hint="eastAsia" w:ascii="国标黑体" w:hAnsi="国标黑体" w:eastAsia="国标黑体" w:cs="国标黑体"/>
                <w:sz w:val="24"/>
                <w:szCs w:val="24"/>
                <w:vertAlign w:val="baseline"/>
                <w:lang w:val="en-US" w:eastAsia="zh-CN"/>
              </w:rPr>
            </w:pPr>
            <w:r>
              <w:rPr>
                <w:rFonts w:hint="eastAsia" w:ascii="国标黑体" w:hAnsi="国标黑体" w:eastAsia="国标黑体" w:cs="国标黑体"/>
                <w:sz w:val="24"/>
                <w:szCs w:val="24"/>
                <w:vertAlign w:val="baseline"/>
                <w:lang w:val="en-US" w:eastAsia="zh-CN"/>
              </w:rPr>
              <w:t>序号</w:t>
            </w:r>
          </w:p>
        </w:tc>
        <w:tc>
          <w:tcPr>
            <w:tcW w:w="1381" w:type="pct"/>
            <w:noWrap w:val="0"/>
            <w:vAlign w:val="center"/>
          </w:tcPr>
          <w:p w14:paraId="798847F2">
            <w:pPr>
              <w:spacing w:line="360" w:lineRule="auto"/>
              <w:jc w:val="center"/>
              <w:rPr>
                <w:rFonts w:hint="eastAsia" w:ascii="国标黑体" w:hAnsi="国标黑体" w:eastAsia="国标黑体" w:cs="国标黑体"/>
                <w:sz w:val="24"/>
                <w:szCs w:val="24"/>
                <w:vertAlign w:val="baseline"/>
                <w:lang w:val="en-US" w:eastAsia="zh-CN"/>
              </w:rPr>
            </w:pPr>
            <w:r>
              <w:rPr>
                <w:rFonts w:hint="eastAsia" w:ascii="国标黑体" w:hAnsi="国标黑体" w:eastAsia="国标黑体" w:cs="国标黑体"/>
                <w:sz w:val="24"/>
                <w:szCs w:val="24"/>
                <w:vertAlign w:val="baseline"/>
                <w:lang w:val="en-US" w:eastAsia="zh-CN"/>
              </w:rPr>
              <w:t>产品名称</w:t>
            </w:r>
          </w:p>
        </w:tc>
        <w:tc>
          <w:tcPr>
            <w:tcW w:w="998" w:type="pct"/>
            <w:noWrap w:val="0"/>
            <w:vAlign w:val="center"/>
          </w:tcPr>
          <w:p w14:paraId="76684359">
            <w:pPr>
              <w:spacing w:line="360" w:lineRule="auto"/>
              <w:jc w:val="center"/>
              <w:rPr>
                <w:rFonts w:hint="eastAsia" w:ascii="国标黑体" w:hAnsi="国标黑体" w:eastAsia="国标黑体" w:cs="国标黑体"/>
                <w:sz w:val="24"/>
                <w:szCs w:val="24"/>
                <w:vertAlign w:val="baseline"/>
                <w:lang w:val="en-US" w:eastAsia="zh-CN"/>
              </w:rPr>
            </w:pPr>
            <w:r>
              <w:rPr>
                <w:rFonts w:hint="eastAsia" w:ascii="国标黑体" w:hAnsi="国标黑体" w:eastAsia="国标黑体" w:cs="国标黑体"/>
                <w:sz w:val="24"/>
                <w:szCs w:val="24"/>
                <w:vertAlign w:val="baseline"/>
                <w:lang w:val="en-US" w:eastAsia="zh-CN"/>
              </w:rPr>
              <w:t>数量</w:t>
            </w:r>
          </w:p>
        </w:tc>
        <w:tc>
          <w:tcPr>
            <w:tcW w:w="1000" w:type="pct"/>
            <w:noWrap w:val="0"/>
            <w:vAlign w:val="center"/>
          </w:tcPr>
          <w:p w14:paraId="44EACCE3">
            <w:pPr>
              <w:spacing w:line="360" w:lineRule="auto"/>
              <w:jc w:val="center"/>
              <w:rPr>
                <w:rFonts w:hint="eastAsia" w:ascii="国标黑体" w:hAnsi="国标黑体" w:eastAsia="国标黑体" w:cs="国标黑体"/>
                <w:sz w:val="24"/>
                <w:szCs w:val="24"/>
                <w:vertAlign w:val="baseline"/>
                <w:lang w:val="en-US" w:eastAsia="zh-CN"/>
              </w:rPr>
            </w:pPr>
            <w:r>
              <w:rPr>
                <w:rFonts w:hint="eastAsia" w:ascii="国标黑体" w:hAnsi="国标黑体" w:eastAsia="国标黑体" w:cs="国标黑体"/>
                <w:sz w:val="24"/>
                <w:szCs w:val="24"/>
                <w:vertAlign w:val="baseline"/>
                <w:lang w:val="en-US" w:eastAsia="zh-CN"/>
              </w:rPr>
              <w:t>单位</w:t>
            </w:r>
          </w:p>
        </w:tc>
        <w:tc>
          <w:tcPr>
            <w:tcW w:w="1002" w:type="pct"/>
            <w:noWrap w:val="0"/>
            <w:vAlign w:val="center"/>
          </w:tcPr>
          <w:p w14:paraId="54E65583">
            <w:pPr>
              <w:spacing w:line="360" w:lineRule="auto"/>
              <w:jc w:val="center"/>
              <w:rPr>
                <w:rFonts w:hint="eastAsia" w:ascii="国标黑体" w:hAnsi="国标黑体" w:eastAsia="国标黑体" w:cs="国标黑体"/>
                <w:sz w:val="24"/>
                <w:szCs w:val="24"/>
                <w:vertAlign w:val="baseline"/>
                <w:lang w:val="en-US" w:eastAsia="zh-CN"/>
              </w:rPr>
            </w:pPr>
            <w:r>
              <w:rPr>
                <w:rFonts w:hint="eastAsia" w:ascii="国标黑体" w:hAnsi="国标黑体" w:eastAsia="国标黑体" w:cs="国标黑体"/>
                <w:sz w:val="24"/>
                <w:szCs w:val="24"/>
                <w:vertAlign w:val="baseline"/>
                <w:lang w:val="en-US" w:eastAsia="zh-CN"/>
              </w:rPr>
              <w:t>备注</w:t>
            </w:r>
          </w:p>
        </w:tc>
      </w:tr>
      <w:tr w14:paraId="2824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617" w:type="pct"/>
            <w:noWrap w:val="0"/>
            <w:vAlign w:val="center"/>
          </w:tcPr>
          <w:p w14:paraId="043053F9">
            <w:pPr>
              <w:jc w:val="center"/>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1</w:t>
            </w:r>
          </w:p>
        </w:tc>
        <w:tc>
          <w:tcPr>
            <w:tcW w:w="1381" w:type="pct"/>
            <w:noWrap w:val="0"/>
            <w:vAlign w:val="center"/>
          </w:tcPr>
          <w:p w14:paraId="24C49CEA">
            <w:pPr>
              <w:jc w:val="center"/>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防火墙</w:t>
            </w:r>
          </w:p>
        </w:tc>
        <w:tc>
          <w:tcPr>
            <w:tcW w:w="998" w:type="pct"/>
            <w:noWrap w:val="0"/>
            <w:vAlign w:val="center"/>
          </w:tcPr>
          <w:p w14:paraId="3D0D57F3">
            <w:pPr>
              <w:jc w:val="center"/>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1</w:t>
            </w:r>
          </w:p>
        </w:tc>
        <w:tc>
          <w:tcPr>
            <w:tcW w:w="1000" w:type="pct"/>
            <w:noWrap w:val="0"/>
            <w:vAlign w:val="center"/>
          </w:tcPr>
          <w:p w14:paraId="201AF33C">
            <w:pPr>
              <w:jc w:val="center"/>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台</w:t>
            </w:r>
          </w:p>
        </w:tc>
        <w:tc>
          <w:tcPr>
            <w:tcW w:w="1002" w:type="pct"/>
            <w:noWrap w:val="0"/>
            <w:vAlign w:val="center"/>
          </w:tcPr>
          <w:p w14:paraId="703EDC1A">
            <w:pPr>
              <w:jc w:val="center"/>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要求提供国产化产品</w:t>
            </w:r>
          </w:p>
        </w:tc>
      </w:tr>
    </w:tbl>
    <w:p w14:paraId="0424C6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三、技术要求</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6940"/>
      </w:tblGrid>
      <w:tr w14:paraId="5764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noWrap w:val="0"/>
            <w:vAlign w:val="center"/>
          </w:tcPr>
          <w:p w14:paraId="7DF92568">
            <w:pPr>
              <w:keepNext w:val="0"/>
              <w:keepLines w:val="0"/>
              <w:widowControl/>
              <w:suppressLineNumbers w:val="0"/>
              <w:jc w:val="center"/>
              <w:textAlignment w:val="center"/>
              <w:rPr>
                <w:rFonts w:hint="eastAsia" w:ascii="国标黑体" w:hAnsi="国标黑体" w:eastAsia="国标黑体" w:cs="国标黑体"/>
                <w:sz w:val="24"/>
                <w:szCs w:val="24"/>
                <w:vertAlign w:val="baseline"/>
                <w:lang w:val="en-US" w:eastAsia="zh-CN"/>
              </w:rPr>
            </w:pPr>
            <w:r>
              <w:rPr>
                <w:rFonts w:hint="eastAsia" w:ascii="国标黑体" w:hAnsi="国标黑体" w:eastAsia="国标黑体" w:cs="国标黑体"/>
                <w:i w:val="0"/>
                <w:color w:val="auto"/>
                <w:kern w:val="0"/>
                <w:sz w:val="24"/>
                <w:szCs w:val="24"/>
                <w:u w:val="none"/>
                <w:lang w:val="en-US" w:eastAsia="zh-CN" w:bidi="ar"/>
              </w:rPr>
              <w:t>指标项</w:t>
            </w:r>
          </w:p>
        </w:tc>
        <w:tc>
          <w:tcPr>
            <w:tcW w:w="4071" w:type="pct"/>
            <w:noWrap w:val="0"/>
            <w:vAlign w:val="center"/>
          </w:tcPr>
          <w:p w14:paraId="17BAEF68">
            <w:pPr>
              <w:keepNext w:val="0"/>
              <w:keepLines w:val="0"/>
              <w:widowControl/>
              <w:suppressLineNumbers w:val="0"/>
              <w:jc w:val="center"/>
              <w:textAlignment w:val="center"/>
              <w:rPr>
                <w:rFonts w:hint="eastAsia" w:ascii="国标黑体" w:hAnsi="国标黑体" w:eastAsia="国标黑体" w:cs="国标黑体"/>
                <w:sz w:val="24"/>
                <w:szCs w:val="24"/>
                <w:vertAlign w:val="baseline"/>
                <w:lang w:val="en-US" w:eastAsia="zh-CN"/>
              </w:rPr>
            </w:pPr>
            <w:r>
              <w:rPr>
                <w:rFonts w:hint="eastAsia" w:ascii="国标黑体" w:hAnsi="国标黑体" w:eastAsia="国标黑体" w:cs="国标黑体"/>
                <w:i w:val="0"/>
                <w:color w:val="auto"/>
                <w:kern w:val="0"/>
                <w:sz w:val="24"/>
                <w:szCs w:val="24"/>
                <w:u w:val="none"/>
                <w:lang w:val="en-US" w:eastAsia="zh-CN" w:bidi="ar"/>
              </w:rPr>
              <w:t>指标参数</w:t>
            </w:r>
          </w:p>
        </w:tc>
      </w:tr>
      <w:tr w14:paraId="5B04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noWrap w:val="0"/>
            <w:vAlign w:val="center"/>
          </w:tcPr>
          <w:p w14:paraId="0CFA9ED2">
            <w:pPr>
              <w:jc w:val="center"/>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i w:val="0"/>
                <w:color w:val="auto"/>
                <w:kern w:val="0"/>
                <w:sz w:val="24"/>
                <w:szCs w:val="24"/>
                <w:u w:val="none"/>
                <w:lang w:val="en-US" w:eastAsia="zh-CN" w:bidi="ar"/>
              </w:rPr>
              <w:t>★</w:t>
            </w:r>
            <w:r>
              <w:rPr>
                <w:rFonts w:hint="eastAsia" w:ascii="国标仿宋" w:hAnsi="国标仿宋" w:eastAsia="国标仿宋" w:cs="国标仿宋"/>
                <w:sz w:val="24"/>
                <w:szCs w:val="24"/>
                <w:vertAlign w:val="baseline"/>
                <w:lang w:val="en-US" w:eastAsia="zh-CN"/>
              </w:rPr>
              <w:t>硬件规格</w:t>
            </w:r>
          </w:p>
        </w:tc>
        <w:tc>
          <w:tcPr>
            <w:tcW w:w="4071" w:type="pct"/>
            <w:noWrap w:val="0"/>
            <w:vAlign w:val="center"/>
          </w:tcPr>
          <w:p w14:paraId="76B44D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1U机箱，单电源；国产化CPU，国产化操作系统；千兆电口≥4个，扩展插槽≥1个，1个Console口，2个USB接口；需提供不少于三年硬件维保服务和三年规则库升级服务（包含威胁情报库、应用识别库、URL分类特征库、病毒防护特征库、入侵防御特征库）。</w:t>
            </w:r>
            <w:r>
              <w:rPr>
                <w:rFonts w:hint="eastAsia" w:ascii="国标仿宋" w:hAnsi="国标仿宋" w:eastAsia="国标仿宋" w:cs="国标仿宋"/>
                <w:b/>
                <w:bCs/>
                <w:sz w:val="24"/>
                <w:szCs w:val="24"/>
                <w:vertAlign w:val="baseline"/>
                <w:lang w:val="en-US" w:eastAsia="zh-CN"/>
              </w:rPr>
              <w:t>需提供原厂授权及售后服务承诺函</w:t>
            </w:r>
            <w:r>
              <w:rPr>
                <w:rFonts w:hint="eastAsia" w:ascii="国标仿宋" w:hAnsi="国标仿宋" w:eastAsia="国标仿宋" w:cs="国标仿宋"/>
                <w:sz w:val="24"/>
                <w:szCs w:val="24"/>
                <w:vertAlign w:val="baseline"/>
                <w:lang w:val="en-US" w:eastAsia="zh-CN"/>
              </w:rPr>
              <w:t>。</w:t>
            </w:r>
          </w:p>
        </w:tc>
      </w:tr>
      <w:tr w14:paraId="7066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noWrap w:val="0"/>
            <w:vAlign w:val="center"/>
          </w:tcPr>
          <w:p w14:paraId="7D147016">
            <w:pPr>
              <w:jc w:val="center"/>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i w:val="0"/>
                <w:color w:val="auto"/>
                <w:kern w:val="0"/>
                <w:sz w:val="24"/>
                <w:szCs w:val="24"/>
                <w:u w:val="none"/>
                <w:lang w:val="en-US" w:eastAsia="zh-CN" w:bidi="ar"/>
              </w:rPr>
              <w:t>★</w:t>
            </w:r>
            <w:r>
              <w:rPr>
                <w:rFonts w:hint="eastAsia" w:ascii="国标仿宋" w:hAnsi="国标仿宋" w:eastAsia="国标仿宋" w:cs="国标仿宋"/>
                <w:sz w:val="24"/>
                <w:szCs w:val="24"/>
                <w:vertAlign w:val="baseline"/>
                <w:lang w:val="en-US" w:eastAsia="zh-CN"/>
              </w:rPr>
              <w:t>性能要求</w:t>
            </w:r>
          </w:p>
        </w:tc>
        <w:tc>
          <w:tcPr>
            <w:tcW w:w="4071" w:type="pct"/>
            <w:noWrap w:val="0"/>
            <w:vAlign w:val="center"/>
          </w:tcPr>
          <w:p w14:paraId="27ADFE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网络层吞吐量4G，并发连接≥200万，每秒新建连接数≥6万；配置不少于100个IPsecVPN并发隧道数和100个SSLVPN并发用户数；需支持应用控制功能、URL过滤功能、病毒防护功能、入侵防御功能、威胁情报检测功能。</w:t>
            </w:r>
          </w:p>
        </w:tc>
      </w:tr>
      <w:tr w14:paraId="62CF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noWrap w:val="0"/>
            <w:vAlign w:val="center"/>
          </w:tcPr>
          <w:p w14:paraId="0B27A057">
            <w:pPr>
              <w:jc w:val="center"/>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rPr>
              <w:t>部署模式</w:t>
            </w:r>
          </w:p>
        </w:tc>
        <w:tc>
          <w:tcPr>
            <w:tcW w:w="4071" w:type="pct"/>
            <w:noWrap w:val="0"/>
            <w:vAlign w:val="center"/>
          </w:tcPr>
          <w:p w14:paraId="088B31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需支持路由、透明、交换以及混合模式接入，满足复杂应用环境的接入需求，支持旁路模式；</w:t>
            </w:r>
          </w:p>
        </w:tc>
      </w:tr>
      <w:tr w14:paraId="1BAB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noWrap w:val="0"/>
            <w:vAlign w:val="center"/>
          </w:tcPr>
          <w:p w14:paraId="0F729FC7">
            <w:pPr>
              <w:jc w:val="center"/>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rPr>
              <w:t>地址转换</w:t>
            </w:r>
          </w:p>
        </w:tc>
        <w:tc>
          <w:tcPr>
            <w:tcW w:w="4071" w:type="pct"/>
            <w:noWrap w:val="0"/>
            <w:vAlign w:val="center"/>
          </w:tcPr>
          <w:p w14:paraId="024006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需支持在源地址转换过程中，对SNAT（源地址转换）使用的地址池利用率进行监控，并在地址池利用率超过阈值时，通过SNMP Trap、邮件等方式告警。</w:t>
            </w:r>
          </w:p>
        </w:tc>
      </w:tr>
      <w:tr w14:paraId="063A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noWrap w:val="0"/>
            <w:vAlign w:val="center"/>
          </w:tcPr>
          <w:p w14:paraId="6F55123D">
            <w:pPr>
              <w:jc w:val="center"/>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安全策略推荐</w:t>
            </w:r>
          </w:p>
        </w:tc>
        <w:tc>
          <w:tcPr>
            <w:tcW w:w="4071" w:type="pct"/>
            <w:noWrap w:val="0"/>
            <w:vAlign w:val="center"/>
          </w:tcPr>
          <w:p w14:paraId="7AC735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支持命中时间分析和安全策略推荐。命中时间分析展示被命中的安全策略的名称、状态、命中数、策略创建时间、首次命中时间和最近命中时间；安全策略推荐定可以指定策略流量，分析后自动生成源地址精度更高的安全策略。需提供CNAS认可检测机构出具的针对软件功能的检测报告关键页证明并加盖厂商公章。</w:t>
            </w:r>
          </w:p>
        </w:tc>
      </w:tr>
      <w:tr w14:paraId="731C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noWrap w:val="0"/>
            <w:vAlign w:val="center"/>
          </w:tcPr>
          <w:p w14:paraId="79E52944">
            <w:pPr>
              <w:jc w:val="center"/>
              <w:rPr>
                <w:rFonts w:hint="eastAsia" w:ascii="国标仿宋" w:hAnsi="国标仿宋" w:eastAsia="国标仿宋" w:cs="国标仿宋"/>
                <w:sz w:val="24"/>
                <w:szCs w:val="24"/>
                <w:lang w:val="en-US" w:eastAsia="zh-CN"/>
              </w:rPr>
            </w:pPr>
            <w:r>
              <w:rPr>
                <w:rFonts w:hint="eastAsia" w:ascii="国标仿宋" w:hAnsi="国标仿宋" w:eastAsia="国标仿宋" w:cs="国标仿宋"/>
                <w:sz w:val="24"/>
                <w:szCs w:val="24"/>
                <w:lang w:val="en-US" w:eastAsia="zh-CN"/>
              </w:rPr>
              <w:t>网络攻击防护</w:t>
            </w:r>
          </w:p>
        </w:tc>
        <w:tc>
          <w:tcPr>
            <w:tcW w:w="4071" w:type="pct"/>
            <w:noWrap w:val="0"/>
            <w:vAlign w:val="center"/>
          </w:tcPr>
          <w:p w14:paraId="60D30D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支持网络攻击防护，包含木马后门、勒索软件通信防护、异常流量检测、间谍软件功能防护、高危行为动态黑IP、Flood攻击防护等功能；需提供CNAS认可检测机构出具的针对软件功能的检测报告关键页证明材料并加盖厂商公章。</w:t>
            </w:r>
          </w:p>
        </w:tc>
      </w:tr>
      <w:tr w14:paraId="4FED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noWrap w:val="0"/>
            <w:vAlign w:val="center"/>
          </w:tcPr>
          <w:p w14:paraId="59B96600">
            <w:pPr>
              <w:jc w:val="center"/>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云端联动</w:t>
            </w:r>
          </w:p>
        </w:tc>
        <w:tc>
          <w:tcPr>
            <w:tcW w:w="4071" w:type="pct"/>
            <w:noWrap w:val="0"/>
            <w:vAlign w:val="center"/>
          </w:tcPr>
          <w:p w14:paraId="2ACA79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需支持与云端联动，至少实现病毒云查杀、URL云识别、应用云识别、云沙箱、威胁情报云检测等功能。</w:t>
            </w:r>
          </w:p>
        </w:tc>
      </w:tr>
      <w:tr w14:paraId="71B3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noWrap w:val="0"/>
            <w:vAlign w:val="center"/>
          </w:tcPr>
          <w:p w14:paraId="125DECC1">
            <w:pPr>
              <w:jc w:val="center"/>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流量编排</w:t>
            </w:r>
          </w:p>
        </w:tc>
        <w:tc>
          <w:tcPr>
            <w:tcW w:w="4071" w:type="pct"/>
            <w:noWrap w:val="0"/>
            <w:vAlign w:val="center"/>
          </w:tcPr>
          <w:p w14:paraId="4A45F5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支持将其他硬件设备（防火墙、IPS、IDS、行为管理等）作为网元对象进行流量编排纳管，具备串联和旁路两种工作模式，并可基于链路健康检查和回环检测对网元健康状态进行检测；需提供功能截图并加盖厂商公章。</w:t>
            </w:r>
          </w:p>
        </w:tc>
      </w:tr>
      <w:tr w14:paraId="5F5E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noWrap w:val="0"/>
            <w:vAlign w:val="center"/>
          </w:tcPr>
          <w:p w14:paraId="0DE89AF4">
            <w:pPr>
              <w:jc w:val="center"/>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威胁感知</w:t>
            </w:r>
          </w:p>
        </w:tc>
        <w:tc>
          <w:tcPr>
            <w:tcW w:w="4071" w:type="pct"/>
            <w:noWrap w:val="0"/>
            <w:vAlign w:val="center"/>
          </w:tcPr>
          <w:p w14:paraId="76818A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需支持基于主机或威胁情报视图，统计网络中确认被入侵、攻破的主机数量，至少可查看被入侵、攻破的时间、威胁类别、情报来源、威胁简介、被入侵、攻破的主机IP、用户名、资产等信息；并对威胁情报发现的恶意主机执行自动阻断。</w:t>
            </w:r>
          </w:p>
        </w:tc>
      </w:tr>
      <w:tr w14:paraId="31C7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noWrap w:val="0"/>
            <w:vAlign w:val="center"/>
          </w:tcPr>
          <w:p w14:paraId="0333D6DA">
            <w:pPr>
              <w:jc w:val="center"/>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产品资质</w:t>
            </w:r>
          </w:p>
        </w:tc>
        <w:tc>
          <w:tcPr>
            <w:tcW w:w="4071" w:type="pct"/>
            <w:noWrap w:val="0"/>
            <w:vAlign w:val="center"/>
          </w:tcPr>
          <w:p w14:paraId="306AF0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需具备公安部销售许可证证书或网络关键设备和网络安全专用产品认证证书、信息技术产品安全测评证书EAL4+，各证书及相关功能检测报告登记的产品名称、软件版本一致，提供证书复印件证明并加盖厂商公章。</w:t>
            </w:r>
          </w:p>
        </w:tc>
      </w:tr>
      <w:tr w14:paraId="1DEC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noWrap w:val="0"/>
            <w:vAlign w:val="center"/>
          </w:tcPr>
          <w:p w14:paraId="7B0D34FE">
            <w:pPr>
              <w:jc w:val="center"/>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厂商资质</w:t>
            </w:r>
          </w:p>
        </w:tc>
        <w:tc>
          <w:tcPr>
            <w:tcW w:w="4071" w:type="pct"/>
            <w:noWrap w:val="0"/>
            <w:vAlign w:val="center"/>
          </w:tcPr>
          <w:p w14:paraId="595D4A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国标仿宋" w:hAnsi="国标仿宋" w:eastAsia="国标仿宋" w:cs="国标仿宋"/>
                <w:sz w:val="24"/>
                <w:szCs w:val="24"/>
                <w:vertAlign w:val="baseline"/>
                <w:lang w:val="en-US" w:eastAsia="zh-CN"/>
              </w:rPr>
            </w:pPr>
            <w:r>
              <w:rPr>
                <w:rFonts w:hint="eastAsia" w:ascii="国标仿宋" w:hAnsi="国标仿宋" w:eastAsia="国标仿宋" w:cs="国标仿宋"/>
                <w:sz w:val="24"/>
                <w:szCs w:val="24"/>
                <w:vertAlign w:val="baseline"/>
                <w:lang w:val="en-US" w:eastAsia="zh-CN"/>
              </w:rPr>
              <w:t>为保证产品威胁检测能力，厂商需具备自研的威胁情报平台，可支持与本次投标产品进行威胁赋能，需提供威胁情报平台官网截图、官网链接及软件著作权复印件并加盖厂商公章</w:t>
            </w:r>
          </w:p>
        </w:tc>
      </w:tr>
    </w:tbl>
    <w:p w14:paraId="1ED3CF7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四、其他要求：</w:t>
      </w:r>
    </w:p>
    <w:p w14:paraId="31C3100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1.供应商须按照本项目采购需求提供产品彩页及相关证明材料，采购需求中所列各项规格及性能参数为必须满足项，未按要求提供证明材料的，按投标无效处理。</w:t>
      </w:r>
    </w:p>
    <w:p w14:paraId="4F9ED0F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2.预中标人应在合同签订前，到采购人现场完成产品功能演示。若演示结果不满足招标文件及合同约定要求，按投标无效处理，由第二中标候选人依次进行功能演示，直至满足招标要求为止。</w:t>
      </w:r>
    </w:p>
    <w:p w14:paraId="0F7FECF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3.合同履约期限：合同签订之后10个日历日内完工。</w:t>
      </w:r>
    </w:p>
    <w:p w14:paraId="3C6C8C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4.质量要求：供应商应保证其配送的产品是全新的，未使用过的且按照国家现行相关标准规范的合格标准检验合格的产品。由于运输等原因而造成的物品损坏，供应商负责及时调换。</w:t>
      </w:r>
    </w:p>
    <w:p w14:paraId="3485344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报价要求：供应商的报价应包含为完成本比价文件提出的货物采购、运输、售后服务等全部相关工作所有可能发生的费用。在合同实施过程中可能发生的其他费用（如：材料涨价、人工、运输成本增加等因素），采购人概不负责。供应商应充分考虑市场风险和国家政策性调价的风险，报价一经成交后，供应商均不能作任何调整。</w:t>
      </w:r>
    </w:p>
    <w:p w14:paraId="4F9FF4C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五、商务要求</w:t>
      </w:r>
    </w:p>
    <w:p w14:paraId="740AE84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1.交货地点：采购人指定地点。</w:t>
      </w:r>
    </w:p>
    <w:p w14:paraId="2EA0DA9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2.付款方式：由成交供应商与采购人自行协商决定。</w:t>
      </w:r>
    </w:p>
    <w:p w14:paraId="4FAB1F5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901CB"/>
    <w:rsid w:val="FFE90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2026-03-03T15:53:00Z</dcterms:created>
  <dc:creator>ipason</dc:creator>
  <cp:lastModifiedBy>ipason</cp:lastModifiedBy>
  <dcterms:modified xsi:type="dcterms:W3CDTF">2026-03-03T15:56:06Z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4674EA7388D0484F8D93A6699820ED6F_41</vt:lpwstr>
  </property>
</Properties>
</file>